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7C5C37">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147C5C38">
      <w:pPr>
        <w:spacing w:before="156" w:beforeLines="50"/>
        <w:jc w:val="center"/>
        <w:rPr>
          <w:rFonts w:ascii="仿宋" w:hAnsi="仿宋" w:eastAsia="仿宋" w:cs="仿宋"/>
          <w:sz w:val="28"/>
          <w:szCs w:val="28"/>
        </w:rPr>
      </w:pPr>
      <w:r>
        <w:rPr>
          <w:rFonts w:hint="eastAsia" w:ascii="仿宋" w:hAnsi="仿宋" w:eastAsia="仿宋" w:cs="仿宋"/>
          <w:sz w:val="28"/>
          <w:szCs w:val="28"/>
        </w:rPr>
        <w:t xml:space="preserve">                                                                      时间：202</w:t>
      </w:r>
      <w:r>
        <w:rPr>
          <w:rFonts w:ascii="仿宋" w:hAnsi="仿宋" w:eastAsia="仿宋" w:cs="仿宋"/>
          <w:sz w:val="28"/>
          <w:szCs w:val="28"/>
        </w:rPr>
        <w:t>5</w:t>
      </w:r>
      <w:r>
        <w:rPr>
          <w:rFonts w:hint="eastAsia" w:ascii="仿宋" w:hAnsi="仿宋" w:eastAsia="仿宋" w:cs="仿宋"/>
          <w:sz w:val="28"/>
          <w:szCs w:val="28"/>
        </w:rPr>
        <w:t>年10月1</w:t>
      </w:r>
      <w:r>
        <w:rPr>
          <w:rFonts w:hint="eastAsia" w:ascii="仿宋" w:hAnsi="仿宋" w:eastAsia="仿宋" w:cs="仿宋"/>
          <w:sz w:val="28"/>
          <w:szCs w:val="28"/>
          <w:lang w:val="en-US" w:eastAsia="zh-CN"/>
        </w:rPr>
        <w:t>1</w:t>
      </w:r>
      <w:r>
        <w:rPr>
          <w:rFonts w:hint="eastAsia" w:ascii="仿宋" w:hAnsi="仿宋" w:eastAsia="仿宋" w:cs="仿宋"/>
          <w:sz w:val="28"/>
          <w:szCs w:val="28"/>
        </w:rPr>
        <w:t>日</w:t>
      </w:r>
    </w:p>
    <w:p w14:paraId="45715F42"/>
    <w:tbl>
      <w:tblPr>
        <w:tblStyle w:val="4"/>
        <w:tblW w:w="0" w:type="auto"/>
        <w:tblInd w:w="93" w:type="dxa"/>
        <w:tblLayout w:type="autofit"/>
        <w:tblCellMar>
          <w:top w:w="0" w:type="dxa"/>
          <w:left w:w="108" w:type="dxa"/>
          <w:bottom w:w="0" w:type="dxa"/>
          <w:right w:w="108" w:type="dxa"/>
        </w:tblCellMar>
      </w:tblPr>
      <w:tblGrid>
        <w:gridCol w:w="638"/>
        <w:gridCol w:w="1848"/>
        <w:gridCol w:w="4504"/>
        <w:gridCol w:w="1559"/>
        <w:gridCol w:w="1276"/>
        <w:gridCol w:w="709"/>
        <w:gridCol w:w="1134"/>
        <w:gridCol w:w="1417"/>
        <w:gridCol w:w="714"/>
      </w:tblGrid>
      <w:tr w14:paraId="7D64EDDD">
        <w:tblPrEx>
          <w:tblCellMar>
            <w:top w:w="0" w:type="dxa"/>
            <w:left w:w="108" w:type="dxa"/>
            <w:bottom w:w="0" w:type="dxa"/>
            <w:right w:w="108" w:type="dxa"/>
          </w:tblCellMar>
        </w:tblPrEx>
        <w:trPr>
          <w:trHeight w:val="645"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9C875">
            <w:pPr>
              <w:widowControl/>
              <w:spacing w:line="240" w:lineRule="exact"/>
              <w:jc w:val="center"/>
              <w:textAlignment w:val="center"/>
              <w:rPr>
                <w:rFonts w:ascii="仿宋" w:hAnsi="仿宋" w:eastAsia="仿宋" w:cs="仿宋"/>
                <w:b/>
                <w:bCs/>
                <w:color w:val="000000"/>
                <w:szCs w:val="21"/>
              </w:rPr>
            </w:pPr>
            <w:r>
              <w:rPr>
                <w:rFonts w:hint="eastAsia" w:ascii="仿宋" w:hAnsi="仿宋" w:eastAsia="仿宋" w:cs="仿宋"/>
                <w:b/>
                <w:bCs/>
                <w:color w:val="000000"/>
                <w:kern w:val="0"/>
                <w:szCs w:val="21"/>
                <w:lang w:bidi="ar"/>
              </w:rPr>
              <w:t>序号</w:t>
            </w:r>
          </w:p>
        </w:tc>
        <w:tc>
          <w:tcPr>
            <w:tcW w:w="18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BBEF5F">
            <w:pPr>
              <w:widowControl/>
              <w:spacing w:line="240" w:lineRule="exact"/>
              <w:jc w:val="center"/>
              <w:textAlignment w:val="center"/>
              <w:rPr>
                <w:rFonts w:ascii="仿宋" w:hAnsi="仿宋" w:eastAsia="仿宋" w:cs="仿宋"/>
                <w:b/>
                <w:bCs/>
                <w:color w:val="333333"/>
                <w:szCs w:val="21"/>
              </w:rPr>
            </w:pPr>
            <w:r>
              <w:rPr>
                <w:rFonts w:hint="eastAsia" w:ascii="仿宋" w:hAnsi="仿宋" w:eastAsia="仿宋" w:cs="仿宋"/>
                <w:b/>
                <w:bCs/>
                <w:color w:val="333333"/>
                <w:szCs w:val="21"/>
              </w:rPr>
              <w:t>成果名称</w:t>
            </w:r>
          </w:p>
        </w:tc>
        <w:tc>
          <w:tcPr>
            <w:tcW w:w="450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DAD233">
            <w:pPr>
              <w:widowControl/>
              <w:spacing w:line="240" w:lineRule="exact"/>
              <w:jc w:val="center"/>
              <w:textAlignment w:val="center"/>
              <w:rPr>
                <w:rFonts w:ascii="仿宋" w:hAnsi="仿宋" w:eastAsia="仿宋" w:cs="仿宋"/>
                <w:b/>
                <w:bCs/>
                <w:color w:val="333333"/>
                <w:szCs w:val="21"/>
              </w:rPr>
            </w:pPr>
            <w:r>
              <w:rPr>
                <w:rFonts w:hint="eastAsia" w:ascii="仿宋" w:hAnsi="仿宋" w:eastAsia="仿宋" w:cs="仿宋"/>
                <w:b/>
                <w:bCs/>
                <w:color w:val="333333"/>
                <w:szCs w:val="21"/>
              </w:rPr>
              <w:t>成果内容摘要</w:t>
            </w:r>
          </w:p>
        </w:tc>
        <w:tc>
          <w:tcPr>
            <w:tcW w:w="15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BEBB54">
            <w:pPr>
              <w:widowControl/>
              <w:spacing w:line="240" w:lineRule="exact"/>
              <w:jc w:val="center"/>
              <w:textAlignment w:val="center"/>
              <w:rPr>
                <w:rFonts w:ascii="仿宋" w:hAnsi="仿宋" w:eastAsia="仿宋" w:cs="仿宋"/>
                <w:b/>
                <w:bCs/>
                <w:color w:val="333333"/>
                <w:szCs w:val="21"/>
              </w:rPr>
            </w:pPr>
            <w:r>
              <w:rPr>
                <w:rFonts w:hint="eastAsia" w:ascii="仿宋" w:hAnsi="仿宋" w:eastAsia="仿宋" w:cs="仿宋"/>
                <w:b/>
                <w:bCs/>
                <w:color w:val="333333"/>
                <w:szCs w:val="21"/>
              </w:rPr>
              <w:t>成果完成人</w:t>
            </w:r>
          </w:p>
        </w:tc>
        <w:tc>
          <w:tcPr>
            <w:tcW w:w="127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256652">
            <w:pPr>
              <w:widowControl/>
              <w:spacing w:line="240" w:lineRule="exact"/>
              <w:jc w:val="center"/>
              <w:textAlignment w:val="center"/>
              <w:rPr>
                <w:rFonts w:ascii="仿宋" w:hAnsi="仿宋" w:eastAsia="仿宋" w:cs="仿宋"/>
                <w:b/>
                <w:bCs/>
                <w:color w:val="333333"/>
                <w:kern w:val="0"/>
                <w:szCs w:val="21"/>
                <w:lang w:bidi="ar"/>
              </w:rPr>
            </w:pPr>
            <w:r>
              <w:rPr>
                <w:rFonts w:hint="eastAsia" w:ascii="仿宋" w:hAnsi="仿宋" w:eastAsia="仿宋" w:cs="仿宋"/>
                <w:b/>
                <w:bCs/>
                <w:color w:val="333333"/>
                <w:kern w:val="0"/>
                <w:szCs w:val="21"/>
                <w:lang w:bidi="ar"/>
              </w:rPr>
              <w:t>赋权类型</w:t>
            </w:r>
          </w:p>
        </w:tc>
        <w:tc>
          <w:tcPr>
            <w:tcW w:w="7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D34BB4">
            <w:pPr>
              <w:widowControl/>
              <w:spacing w:line="240" w:lineRule="exact"/>
              <w:jc w:val="center"/>
              <w:textAlignment w:val="center"/>
              <w:rPr>
                <w:rFonts w:ascii="仿宋" w:hAnsi="仿宋" w:eastAsia="仿宋" w:cs="仿宋"/>
                <w:b/>
                <w:bCs/>
                <w:color w:val="333333"/>
                <w:kern w:val="0"/>
                <w:szCs w:val="21"/>
                <w:lang w:bidi="ar"/>
              </w:rPr>
            </w:pPr>
            <w:r>
              <w:rPr>
                <w:rFonts w:hint="eastAsia" w:ascii="仿宋" w:hAnsi="仿宋" w:eastAsia="仿宋" w:cs="仿宋"/>
                <w:b/>
                <w:bCs/>
                <w:color w:val="333333"/>
                <w:kern w:val="0"/>
                <w:szCs w:val="21"/>
                <w:lang w:bidi="ar"/>
              </w:rPr>
              <w:t>转化方式</w:t>
            </w:r>
          </w:p>
        </w:tc>
        <w:tc>
          <w:tcPr>
            <w:tcW w:w="11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0C123B">
            <w:pPr>
              <w:widowControl/>
              <w:spacing w:line="240" w:lineRule="exact"/>
              <w:jc w:val="center"/>
              <w:textAlignment w:val="center"/>
              <w:rPr>
                <w:rFonts w:ascii="仿宋" w:hAnsi="仿宋" w:eastAsia="仿宋" w:cs="仿宋"/>
                <w:b/>
                <w:bCs/>
                <w:color w:val="333333"/>
                <w:szCs w:val="21"/>
              </w:rPr>
            </w:pPr>
            <w:r>
              <w:rPr>
                <w:rFonts w:hint="eastAsia" w:ascii="仿宋" w:hAnsi="仿宋" w:eastAsia="仿宋" w:cs="仿宋"/>
                <w:b/>
                <w:bCs/>
                <w:color w:val="333333"/>
                <w:kern w:val="0"/>
                <w:szCs w:val="21"/>
                <w:lang w:bidi="ar"/>
              </w:rPr>
              <w:t>交易金额（万元）</w:t>
            </w:r>
          </w:p>
        </w:tc>
        <w:tc>
          <w:tcPr>
            <w:tcW w:w="141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24331B">
            <w:pPr>
              <w:widowControl/>
              <w:spacing w:line="240" w:lineRule="exact"/>
              <w:jc w:val="center"/>
              <w:textAlignment w:val="center"/>
              <w:rPr>
                <w:rFonts w:ascii="仿宋" w:hAnsi="仿宋" w:eastAsia="仿宋" w:cs="仿宋"/>
                <w:b/>
                <w:bCs/>
                <w:color w:val="333333"/>
                <w:kern w:val="0"/>
                <w:szCs w:val="21"/>
                <w:lang w:bidi="ar"/>
              </w:rPr>
            </w:pPr>
            <w:r>
              <w:rPr>
                <w:rFonts w:hint="eastAsia" w:ascii="仿宋" w:hAnsi="仿宋" w:eastAsia="仿宋" w:cs="仿宋"/>
                <w:b/>
                <w:bCs/>
                <w:color w:val="333333"/>
                <w:kern w:val="0"/>
                <w:szCs w:val="21"/>
                <w:lang w:bidi="ar"/>
              </w:rPr>
              <w:t>受让</w:t>
            </w:r>
          </w:p>
          <w:p w14:paraId="3CC96C33">
            <w:pPr>
              <w:widowControl/>
              <w:spacing w:line="240" w:lineRule="exact"/>
              <w:jc w:val="center"/>
              <w:textAlignment w:val="center"/>
              <w:rPr>
                <w:rFonts w:ascii="仿宋" w:hAnsi="仿宋" w:eastAsia="仿宋" w:cs="仿宋"/>
                <w:b/>
                <w:bCs/>
                <w:color w:val="333333"/>
                <w:szCs w:val="21"/>
              </w:rPr>
            </w:pPr>
            <w:r>
              <w:rPr>
                <w:rFonts w:hint="eastAsia" w:ascii="仿宋" w:hAnsi="仿宋" w:eastAsia="仿宋" w:cs="仿宋"/>
                <w:b/>
                <w:bCs/>
                <w:color w:val="333333"/>
                <w:szCs w:val="21"/>
              </w:rPr>
              <w:t>方</w:t>
            </w:r>
          </w:p>
        </w:tc>
        <w:tc>
          <w:tcPr>
            <w:tcW w:w="7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48AEC1">
            <w:pPr>
              <w:widowControl/>
              <w:spacing w:line="240" w:lineRule="exact"/>
              <w:jc w:val="center"/>
              <w:textAlignment w:val="center"/>
              <w:rPr>
                <w:rFonts w:ascii="仿宋" w:hAnsi="仿宋" w:eastAsia="仿宋" w:cs="仿宋"/>
                <w:b/>
                <w:bCs/>
                <w:color w:val="333333"/>
                <w:kern w:val="0"/>
                <w:szCs w:val="21"/>
                <w:lang w:bidi="ar"/>
              </w:rPr>
            </w:pPr>
            <w:r>
              <w:rPr>
                <w:rFonts w:hint="eastAsia" w:ascii="仿宋" w:hAnsi="仿宋" w:eastAsia="仿宋" w:cs="仿宋"/>
                <w:b/>
                <w:bCs/>
                <w:color w:val="333333"/>
                <w:kern w:val="0"/>
                <w:szCs w:val="21"/>
                <w:lang w:bidi="ar"/>
              </w:rPr>
              <w:t>备注</w:t>
            </w:r>
          </w:p>
        </w:tc>
      </w:tr>
      <w:tr w14:paraId="6EA88022">
        <w:tblPrEx>
          <w:tblCellMar>
            <w:top w:w="0" w:type="dxa"/>
            <w:left w:w="108" w:type="dxa"/>
            <w:bottom w:w="0" w:type="dxa"/>
            <w:right w:w="108" w:type="dxa"/>
          </w:tblCellMar>
        </w:tblPrEx>
        <w:trPr>
          <w:trHeight w:val="3793"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629A1">
            <w:pPr>
              <w:widowControl/>
              <w:spacing w:line="360" w:lineRule="auto"/>
              <w:jc w:val="center"/>
              <w:textAlignment w:val="center"/>
              <w:rPr>
                <w:rFonts w:hint="eastAsia" w:ascii="仿宋" w:hAnsi="仿宋" w:eastAsia="仿宋" w:cs="仿宋"/>
                <w:color w:val="000000"/>
                <w:sz w:val="21"/>
                <w:szCs w:val="21"/>
              </w:rPr>
            </w:pPr>
            <w:r>
              <w:rPr>
                <w:rFonts w:hint="eastAsia" w:ascii="仿宋" w:hAnsi="仿宋" w:eastAsia="仿宋" w:cs="仿宋"/>
                <w:color w:val="000000"/>
                <w:sz w:val="21"/>
                <w:szCs w:val="21"/>
              </w:rPr>
              <w:t>1</w:t>
            </w:r>
          </w:p>
        </w:tc>
        <w:tc>
          <w:tcPr>
            <w:tcW w:w="1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7C029">
            <w:pPr>
              <w:widowControl/>
              <w:spacing w:line="360" w:lineRule="auto"/>
              <w:textAlignment w:val="center"/>
              <w:rPr>
                <w:rFonts w:hint="eastAsia" w:ascii="仿宋" w:hAnsi="仿宋" w:eastAsia="仿宋" w:cs="仿宋"/>
                <w:sz w:val="21"/>
                <w:szCs w:val="21"/>
              </w:rPr>
            </w:pPr>
            <w:r>
              <w:rPr>
                <w:rFonts w:hint="eastAsia" w:ascii="仿宋" w:hAnsi="仿宋" w:eastAsia="仿宋" w:cs="仿宋"/>
                <w:bCs/>
                <w:sz w:val="21"/>
                <w:szCs w:val="21"/>
              </w:rPr>
              <w:t>一种基于情感关联和情感标签生成的多模态情感分析方法</w:t>
            </w:r>
          </w:p>
        </w:tc>
        <w:tc>
          <w:tcPr>
            <w:tcW w:w="4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3A0FC">
            <w:pPr>
              <w:widowControl/>
              <w:spacing w:line="360" w:lineRule="auto"/>
              <w:textAlignment w:val="center"/>
              <w:rPr>
                <w:rFonts w:hint="eastAsia" w:ascii="仿宋" w:hAnsi="仿宋" w:eastAsia="仿宋" w:cs="仿宋"/>
                <w:bCs/>
                <w:sz w:val="21"/>
                <w:szCs w:val="21"/>
              </w:rPr>
            </w:pPr>
            <w:r>
              <w:rPr>
                <w:rFonts w:hint="eastAsia" w:ascii="仿宋" w:hAnsi="仿宋" w:eastAsia="仿宋" w:cs="仿宋"/>
                <w:sz w:val="21"/>
                <w:szCs w:val="21"/>
              </w:rPr>
              <w:t>本申请公开了一种基于情感关联和情感标签生成的多模态情感分析方法，用以解决现有方法在挖掘情感关联信息、捕获情感差异信息方面的不足。</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3D74F">
            <w:pPr>
              <w:widowControl/>
              <w:spacing w:line="360" w:lineRule="auto"/>
              <w:textAlignment w:val="center"/>
              <w:rPr>
                <w:rFonts w:hint="eastAsia" w:ascii="仿宋" w:hAnsi="仿宋" w:eastAsia="仿宋" w:cs="仿宋"/>
                <w:bCs/>
                <w:sz w:val="21"/>
                <w:szCs w:val="21"/>
              </w:rPr>
            </w:pPr>
            <w:r>
              <w:rPr>
                <w:rFonts w:hint="eastAsia" w:ascii="仿宋" w:hAnsi="仿宋" w:eastAsia="仿宋" w:cs="仿宋"/>
                <w:bCs/>
                <w:sz w:val="21"/>
                <w:szCs w:val="21"/>
              </w:rPr>
              <w:t>李祖贺；郭青冰；陈燕；于泽琦；王延峰；张亚洲；庾骏；陈浩然；刘伟华；陈辉；卜祥洲；朱寒雪</w:t>
            </w:r>
          </w:p>
        </w:tc>
        <w:tc>
          <w:tcPr>
            <w:tcW w:w="1276" w:type="dxa"/>
            <w:tcBorders>
              <w:top w:val="single" w:color="000000" w:sz="4" w:space="0"/>
              <w:left w:val="single" w:color="000000" w:sz="4" w:space="0"/>
              <w:bottom w:val="single" w:color="000000" w:sz="4" w:space="0"/>
              <w:right w:val="single" w:color="000000" w:sz="4" w:space="0"/>
            </w:tcBorders>
            <w:vAlign w:val="center"/>
          </w:tcPr>
          <w:p w14:paraId="2C37E3E4">
            <w:pPr>
              <w:widowControl/>
              <w:spacing w:line="360" w:lineRule="auto"/>
              <w:jc w:val="center"/>
              <w:textAlignment w:val="center"/>
              <w:rPr>
                <w:rFonts w:hint="eastAsia" w:ascii="仿宋" w:hAnsi="仿宋" w:eastAsia="仿宋" w:cs="仿宋"/>
                <w:sz w:val="21"/>
                <w:szCs w:val="21"/>
              </w:rPr>
            </w:pPr>
            <w:r>
              <w:rPr>
                <w:rFonts w:hint="eastAsia" w:ascii="仿宋" w:hAnsi="仿宋" w:eastAsia="仿宋" w:cs="仿宋"/>
                <w:sz w:val="21"/>
                <w:szCs w:val="21"/>
              </w:rPr>
              <w:t>长期使用权（</w:t>
            </w:r>
            <w:r>
              <w:rPr>
                <w:rFonts w:hint="eastAsia" w:ascii="仿宋" w:hAnsi="仿宋" w:eastAsia="仿宋" w:cs="仿宋"/>
                <w:sz w:val="21"/>
                <w:szCs w:val="21"/>
                <w:lang w:val="en-US" w:eastAsia="zh-CN"/>
              </w:rPr>
              <w:t>10年</w:t>
            </w:r>
            <w:r>
              <w:rPr>
                <w:rFonts w:hint="eastAsia" w:ascii="仿宋" w:hAnsi="仿宋" w:eastAsia="仿宋" w:cs="仿宋"/>
                <w:sz w:val="21"/>
                <w:szCs w:val="21"/>
              </w:rPr>
              <w:t>）</w:t>
            </w:r>
          </w:p>
        </w:tc>
        <w:tc>
          <w:tcPr>
            <w:tcW w:w="709" w:type="dxa"/>
            <w:vMerge w:val="restart"/>
            <w:tcBorders>
              <w:top w:val="single" w:color="000000" w:sz="4" w:space="0"/>
              <w:left w:val="single" w:color="000000" w:sz="4" w:space="0"/>
              <w:right w:val="single" w:color="000000" w:sz="4" w:space="0"/>
            </w:tcBorders>
            <w:vAlign w:val="center"/>
          </w:tcPr>
          <w:p w14:paraId="772E74C5">
            <w:pPr>
              <w:widowControl/>
              <w:spacing w:line="360" w:lineRule="auto"/>
              <w:jc w:val="center"/>
              <w:textAlignment w:val="center"/>
              <w:rPr>
                <w:rFonts w:hint="eastAsia" w:ascii="仿宋" w:hAnsi="仿宋" w:eastAsia="仿宋" w:cs="仿宋"/>
                <w:sz w:val="21"/>
                <w:szCs w:val="21"/>
              </w:rPr>
            </w:pPr>
            <w:r>
              <w:rPr>
                <w:rFonts w:hint="eastAsia" w:ascii="仿宋" w:hAnsi="仿宋" w:eastAsia="仿宋" w:cs="仿宋"/>
                <w:sz w:val="21"/>
                <w:szCs w:val="21"/>
              </w:rPr>
              <w:t>专利权许可实施</w:t>
            </w:r>
          </w:p>
        </w:tc>
        <w:tc>
          <w:tcPr>
            <w:tcW w:w="1134" w:type="dxa"/>
            <w:vMerge w:val="restart"/>
            <w:tcBorders>
              <w:top w:val="single" w:color="000000" w:sz="4" w:space="0"/>
              <w:left w:val="single" w:color="000000" w:sz="4" w:space="0"/>
              <w:right w:val="single" w:color="000000" w:sz="4" w:space="0"/>
            </w:tcBorders>
            <w:shd w:val="clear" w:color="auto" w:fill="auto"/>
            <w:vAlign w:val="center"/>
          </w:tcPr>
          <w:p w14:paraId="4C42ACB1">
            <w:pPr>
              <w:spacing w:line="360" w:lineRule="auto"/>
              <w:jc w:val="center"/>
              <w:textAlignment w:val="center"/>
              <w:rPr>
                <w:rFonts w:hint="eastAsia" w:ascii="仿宋" w:hAnsi="仿宋" w:eastAsia="仿宋" w:cs="仿宋"/>
                <w:bCs/>
                <w:sz w:val="21"/>
                <w:szCs w:val="21"/>
              </w:rPr>
            </w:pPr>
            <w:r>
              <w:rPr>
                <w:rFonts w:hint="eastAsia" w:ascii="仿宋" w:hAnsi="仿宋" w:eastAsia="仿宋" w:cs="仿宋"/>
                <w:bCs/>
                <w:sz w:val="21"/>
                <w:szCs w:val="21"/>
              </w:rPr>
              <w:t>31</w:t>
            </w:r>
          </w:p>
        </w:tc>
        <w:tc>
          <w:tcPr>
            <w:tcW w:w="1417" w:type="dxa"/>
            <w:vMerge w:val="restart"/>
            <w:tcBorders>
              <w:top w:val="single" w:color="000000" w:sz="4" w:space="0"/>
              <w:left w:val="single" w:color="000000" w:sz="4" w:space="0"/>
              <w:right w:val="single" w:color="000000" w:sz="4" w:space="0"/>
            </w:tcBorders>
            <w:shd w:val="clear" w:color="auto" w:fill="auto"/>
            <w:vAlign w:val="center"/>
          </w:tcPr>
          <w:p w14:paraId="34E7D758">
            <w:pPr>
              <w:spacing w:line="360" w:lineRule="auto"/>
              <w:textAlignment w:val="center"/>
              <w:rPr>
                <w:rFonts w:hint="eastAsia" w:ascii="仿宋" w:hAnsi="仿宋" w:eastAsia="仿宋" w:cs="仿宋"/>
                <w:bCs/>
                <w:sz w:val="21"/>
                <w:szCs w:val="21"/>
              </w:rPr>
            </w:pPr>
            <w:r>
              <w:rPr>
                <w:rFonts w:hint="eastAsia" w:ascii="仿宋" w:hAnsi="仿宋" w:eastAsia="仿宋" w:cs="仿宋"/>
                <w:bCs/>
                <w:sz w:val="21"/>
                <w:szCs w:val="21"/>
              </w:rPr>
              <w:t>郑州沃众电子科技有限公司</w:t>
            </w:r>
          </w:p>
        </w:tc>
        <w:tc>
          <w:tcPr>
            <w:tcW w:w="714" w:type="dxa"/>
            <w:vMerge w:val="restart"/>
            <w:tcBorders>
              <w:top w:val="single" w:color="000000" w:sz="4" w:space="0"/>
              <w:left w:val="single" w:color="000000" w:sz="4" w:space="0"/>
              <w:right w:val="single" w:color="000000" w:sz="4" w:space="0"/>
            </w:tcBorders>
          </w:tcPr>
          <w:p w14:paraId="3D3D2B07">
            <w:pPr>
              <w:widowControl/>
              <w:spacing w:line="360" w:lineRule="auto"/>
              <w:jc w:val="center"/>
              <w:textAlignment w:val="center"/>
              <w:rPr>
                <w:rFonts w:hint="eastAsia" w:ascii="仿宋" w:hAnsi="仿宋" w:eastAsia="仿宋" w:cs="仿宋"/>
                <w:bCs/>
                <w:sz w:val="21"/>
                <w:szCs w:val="21"/>
              </w:rPr>
            </w:pPr>
          </w:p>
        </w:tc>
      </w:tr>
      <w:tr w14:paraId="3307DDDA">
        <w:tblPrEx>
          <w:tblCellMar>
            <w:top w:w="0" w:type="dxa"/>
            <w:left w:w="108" w:type="dxa"/>
            <w:bottom w:w="0" w:type="dxa"/>
            <w:right w:w="108" w:type="dxa"/>
          </w:tblCellMar>
        </w:tblPrEx>
        <w:trPr>
          <w:trHeight w:val="3484"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89B53">
            <w:pPr>
              <w:widowControl/>
              <w:spacing w:line="360" w:lineRule="auto"/>
              <w:jc w:val="center"/>
              <w:textAlignment w:val="center"/>
              <w:rPr>
                <w:rFonts w:hint="eastAsia" w:ascii="仿宋" w:hAnsi="仿宋" w:eastAsia="仿宋" w:cs="仿宋"/>
                <w:color w:val="000000"/>
                <w:sz w:val="21"/>
                <w:szCs w:val="21"/>
              </w:rPr>
            </w:pPr>
            <w:r>
              <w:rPr>
                <w:rFonts w:hint="eastAsia" w:ascii="仿宋" w:hAnsi="仿宋" w:eastAsia="仿宋" w:cs="仿宋"/>
                <w:color w:val="000000"/>
                <w:sz w:val="21"/>
                <w:szCs w:val="21"/>
              </w:rPr>
              <w:t>2</w:t>
            </w:r>
          </w:p>
        </w:tc>
        <w:tc>
          <w:tcPr>
            <w:tcW w:w="1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BAC78">
            <w:pPr>
              <w:widowControl/>
              <w:spacing w:line="360" w:lineRule="auto"/>
              <w:textAlignment w:val="center"/>
              <w:rPr>
                <w:rFonts w:hint="eastAsia" w:ascii="仿宋" w:hAnsi="仿宋" w:eastAsia="仿宋" w:cs="仿宋"/>
                <w:sz w:val="21"/>
                <w:szCs w:val="21"/>
              </w:rPr>
            </w:pPr>
            <w:r>
              <w:rPr>
                <w:rFonts w:hint="eastAsia" w:ascii="仿宋" w:hAnsi="仿宋" w:eastAsia="仿宋" w:cs="仿宋"/>
                <w:sz w:val="21"/>
                <w:szCs w:val="21"/>
              </w:rPr>
              <w:t>一种基于MIT和FSM的多模态情感分析方法</w:t>
            </w:r>
          </w:p>
        </w:tc>
        <w:tc>
          <w:tcPr>
            <w:tcW w:w="4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47852">
            <w:pPr>
              <w:widowControl/>
              <w:spacing w:line="360" w:lineRule="auto"/>
              <w:textAlignment w:val="center"/>
              <w:rPr>
                <w:rFonts w:hint="eastAsia" w:ascii="仿宋" w:hAnsi="仿宋" w:eastAsia="仿宋" w:cs="仿宋"/>
                <w:bCs/>
                <w:sz w:val="21"/>
                <w:szCs w:val="21"/>
              </w:rPr>
            </w:pPr>
            <w:r>
              <w:rPr>
                <w:rFonts w:hint="eastAsia" w:ascii="仿宋" w:hAnsi="仿宋" w:eastAsia="仿宋" w:cs="仿宋"/>
                <w:sz w:val="21"/>
                <w:szCs w:val="21"/>
              </w:rPr>
              <w:t>本发明提出了一种基于MIT和FSM的多模态情感分析方法，用以解决现有多模态情感分析方法在融合多模态信息时的技术性问题，所提出的多模态情感分析模型能够充分考虑多种模态信息之间的关联，有助于在数据融合后进行情感分类。</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8BDE1">
            <w:pPr>
              <w:widowControl/>
              <w:spacing w:line="360" w:lineRule="auto"/>
              <w:textAlignment w:val="center"/>
              <w:rPr>
                <w:rFonts w:hint="eastAsia" w:ascii="仿宋" w:hAnsi="仿宋" w:eastAsia="仿宋" w:cs="仿宋"/>
                <w:bCs/>
                <w:sz w:val="21"/>
                <w:szCs w:val="21"/>
              </w:rPr>
            </w:pPr>
            <w:r>
              <w:rPr>
                <w:rFonts w:hint="eastAsia" w:ascii="仿宋" w:hAnsi="仿宋" w:eastAsia="仿宋" w:cs="仿宋"/>
                <w:bCs/>
                <w:sz w:val="21"/>
                <w:szCs w:val="21"/>
              </w:rPr>
              <w:t>李祖贺;郭青冰;王艳军;马江涛;王凤琴;张秋闻;黄伟钱晓亮;张焕龙</w:t>
            </w:r>
          </w:p>
        </w:tc>
        <w:tc>
          <w:tcPr>
            <w:tcW w:w="1276" w:type="dxa"/>
            <w:tcBorders>
              <w:top w:val="single" w:color="000000" w:sz="4" w:space="0"/>
              <w:left w:val="single" w:color="000000" w:sz="4" w:space="0"/>
              <w:bottom w:val="single" w:color="000000" w:sz="4" w:space="0"/>
              <w:right w:val="single" w:color="000000" w:sz="4" w:space="0"/>
            </w:tcBorders>
            <w:vAlign w:val="center"/>
          </w:tcPr>
          <w:p w14:paraId="4FF91D48">
            <w:pPr>
              <w:widowControl/>
              <w:spacing w:line="360" w:lineRule="auto"/>
              <w:jc w:val="center"/>
              <w:textAlignment w:val="center"/>
              <w:rPr>
                <w:rFonts w:hint="eastAsia" w:ascii="仿宋" w:hAnsi="仿宋" w:eastAsia="仿宋" w:cs="仿宋"/>
                <w:sz w:val="21"/>
                <w:szCs w:val="21"/>
              </w:rPr>
            </w:pPr>
            <w:r>
              <w:rPr>
                <w:rFonts w:hint="eastAsia" w:ascii="仿宋" w:hAnsi="仿宋" w:eastAsia="仿宋" w:cs="仿宋"/>
                <w:sz w:val="21"/>
                <w:szCs w:val="21"/>
              </w:rPr>
              <w:t>长期使用权（</w:t>
            </w:r>
            <w:r>
              <w:rPr>
                <w:rFonts w:hint="eastAsia" w:ascii="仿宋" w:hAnsi="仿宋" w:eastAsia="仿宋" w:cs="仿宋"/>
                <w:sz w:val="21"/>
                <w:szCs w:val="21"/>
                <w:lang w:val="en-US" w:eastAsia="zh-CN"/>
              </w:rPr>
              <w:t>10年</w:t>
            </w:r>
            <w:r>
              <w:rPr>
                <w:rFonts w:hint="eastAsia" w:ascii="仿宋" w:hAnsi="仿宋" w:eastAsia="仿宋" w:cs="仿宋"/>
                <w:sz w:val="21"/>
                <w:szCs w:val="21"/>
              </w:rPr>
              <w:t>）</w:t>
            </w:r>
          </w:p>
        </w:tc>
        <w:tc>
          <w:tcPr>
            <w:tcW w:w="709" w:type="dxa"/>
            <w:vMerge w:val="continue"/>
            <w:tcBorders>
              <w:left w:val="single" w:color="000000" w:sz="4" w:space="0"/>
              <w:right w:val="single" w:color="000000" w:sz="4" w:space="0"/>
            </w:tcBorders>
          </w:tcPr>
          <w:p w14:paraId="22E52402">
            <w:pPr>
              <w:widowControl/>
              <w:spacing w:line="360" w:lineRule="auto"/>
              <w:jc w:val="center"/>
              <w:textAlignment w:val="center"/>
              <w:rPr>
                <w:rFonts w:hint="eastAsia" w:ascii="仿宋" w:hAnsi="仿宋" w:eastAsia="仿宋" w:cs="仿宋"/>
                <w:sz w:val="21"/>
                <w:szCs w:val="21"/>
              </w:rPr>
            </w:pPr>
          </w:p>
        </w:tc>
        <w:tc>
          <w:tcPr>
            <w:tcW w:w="1134" w:type="dxa"/>
            <w:vMerge w:val="continue"/>
            <w:tcBorders>
              <w:left w:val="single" w:color="000000" w:sz="4" w:space="0"/>
              <w:right w:val="single" w:color="000000" w:sz="4" w:space="0"/>
            </w:tcBorders>
            <w:shd w:val="clear" w:color="auto" w:fill="auto"/>
            <w:vAlign w:val="center"/>
          </w:tcPr>
          <w:p w14:paraId="4BA32AD5">
            <w:pPr>
              <w:widowControl/>
              <w:spacing w:line="360" w:lineRule="auto"/>
              <w:jc w:val="center"/>
              <w:textAlignment w:val="center"/>
              <w:rPr>
                <w:rFonts w:hint="eastAsia" w:ascii="仿宋" w:hAnsi="仿宋" w:eastAsia="仿宋" w:cs="仿宋"/>
                <w:bCs/>
                <w:sz w:val="21"/>
                <w:szCs w:val="21"/>
              </w:rPr>
            </w:pPr>
          </w:p>
        </w:tc>
        <w:tc>
          <w:tcPr>
            <w:tcW w:w="1417" w:type="dxa"/>
            <w:vMerge w:val="continue"/>
            <w:tcBorders>
              <w:left w:val="single" w:color="000000" w:sz="4" w:space="0"/>
              <w:right w:val="single" w:color="000000" w:sz="4" w:space="0"/>
            </w:tcBorders>
            <w:shd w:val="clear" w:color="auto" w:fill="auto"/>
            <w:vAlign w:val="center"/>
          </w:tcPr>
          <w:p w14:paraId="4DAEF981">
            <w:pPr>
              <w:widowControl/>
              <w:spacing w:line="360" w:lineRule="auto"/>
              <w:jc w:val="center"/>
              <w:textAlignment w:val="center"/>
              <w:rPr>
                <w:rFonts w:hint="eastAsia" w:ascii="仿宋" w:hAnsi="仿宋" w:eastAsia="仿宋" w:cs="仿宋"/>
                <w:bCs/>
                <w:sz w:val="21"/>
                <w:szCs w:val="21"/>
              </w:rPr>
            </w:pPr>
          </w:p>
        </w:tc>
        <w:tc>
          <w:tcPr>
            <w:tcW w:w="714" w:type="dxa"/>
            <w:vMerge w:val="continue"/>
            <w:tcBorders>
              <w:left w:val="single" w:color="000000" w:sz="4" w:space="0"/>
              <w:right w:val="single" w:color="000000" w:sz="4" w:space="0"/>
            </w:tcBorders>
          </w:tcPr>
          <w:p w14:paraId="4CA6B8AF">
            <w:pPr>
              <w:widowControl/>
              <w:spacing w:line="360" w:lineRule="auto"/>
              <w:jc w:val="center"/>
              <w:textAlignment w:val="center"/>
              <w:rPr>
                <w:rFonts w:hint="eastAsia" w:ascii="仿宋" w:hAnsi="仿宋" w:eastAsia="仿宋" w:cs="仿宋"/>
                <w:bCs/>
                <w:sz w:val="21"/>
                <w:szCs w:val="21"/>
              </w:rPr>
            </w:pPr>
          </w:p>
        </w:tc>
      </w:tr>
      <w:tr w14:paraId="1BE9192C">
        <w:tblPrEx>
          <w:tblCellMar>
            <w:top w:w="0" w:type="dxa"/>
            <w:left w:w="108" w:type="dxa"/>
            <w:bottom w:w="0" w:type="dxa"/>
            <w:right w:w="108" w:type="dxa"/>
          </w:tblCellMar>
        </w:tblPrEx>
        <w:trPr>
          <w:trHeight w:val="3251"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5599F">
            <w:pPr>
              <w:widowControl/>
              <w:spacing w:line="360" w:lineRule="auto"/>
              <w:jc w:val="center"/>
              <w:textAlignment w:val="center"/>
              <w:rPr>
                <w:rFonts w:hint="eastAsia" w:ascii="仿宋" w:hAnsi="仿宋" w:eastAsia="仿宋" w:cs="仿宋"/>
                <w:color w:val="000000"/>
                <w:sz w:val="21"/>
                <w:szCs w:val="21"/>
              </w:rPr>
            </w:pPr>
            <w:r>
              <w:rPr>
                <w:rFonts w:hint="eastAsia" w:ascii="仿宋" w:hAnsi="仿宋" w:eastAsia="仿宋" w:cs="仿宋"/>
                <w:color w:val="000000"/>
                <w:sz w:val="21"/>
                <w:szCs w:val="21"/>
              </w:rPr>
              <w:t>3</w:t>
            </w:r>
          </w:p>
        </w:tc>
        <w:tc>
          <w:tcPr>
            <w:tcW w:w="1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BDBDD">
            <w:pPr>
              <w:widowControl/>
              <w:spacing w:line="360" w:lineRule="auto"/>
              <w:textAlignment w:val="center"/>
              <w:rPr>
                <w:rFonts w:hint="eastAsia" w:ascii="仿宋" w:hAnsi="仿宋" w:eastAsia="仿宋" w:cs="仿宋"/>
                <w:sz w:val="21"/>
                <w:szCs w:val="21"/>
              </w:rPr>
            </w:pPr>
            <w:r>
              <w:rPr>
                <w:rFonts w:hint="eastAsia" w:ascii="仿宋" w:hAnsi="仿宋" w:eastAsia="仿宋" w:cs="仿宋"/>
                <w:sz w:val="21"/>
                <w:szCs w:val="21"/>
              </w:rPr>
              <w:t>基于模态表示空间和叠加自注意力的多模态情感分析方法</w:t>
            </w:r>
          </w:p>
        </w:tc>
        <w:tc>
          <w:tcPr>
            <w:tcW w:w="4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E827A">
            <w:pPr>
              <w:widowControl/>
              <w:spacing w:line="360" w:lineRule="auto"/>
              <w:textAlignment w:val="center"/>
              <w:rPr>
                <w:rFonts w:hint="eastAsia" w:ascii="仿宋" w:hAnsi="仿宋" w:eastAsia="仿宋" w:cs="仿宋"/>
                <w:sz w:val="21"/>
                <w:szCs w:val="21"/>
              </w:rPr>
            </w:pPr>
            <w:r>
              <w:rPr>
                <w:rFonts w:hint="eastAsia" w:ascii="仿宋" w:hAnsi="仿宋" w:eastAsia="仿宋" w:cs="仿宋"/>
                <w:sz w:val="21"/>
                <w:szCs w:val="21"/>
              </w:rPr>
              <w:t>本发明提出了一种基于模态表示空间和叠加自注意力的多模态情感分析方法，用以解决现有方法在处理多模态数据时所面临的语义鸿沟等技术性问题，本发明能够在进行多模态情感分析时跨越语义鸿沟，得到更加可靠的情感预测结果。</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07050">
            <w:pPr>
              <w:widowControl/>
              <w:spacing w:line="360" w:lineRule="auto"/>
              <w:textAlignment w:val="center"/>
              <w:rPr>
                <w:rFonts w:hint="eastAsia" w:ascii="仿宋" w:hAnsi="仿宋" w:eastAsia="仿宋" w:cs="仿宋"/>
                <w:bCs/>
                <w:sz w:val="21"/>
                <w:szCs w:val="21"/>
              </w:rPr>
            </w:pPr>
            <w:r>
              <w:rPr>
                <w:rFonts w:hint="eastAsia" w:ascii="仿宋" w:hAnsi="仿宋" w:eastAsia="仿宋" w:cs="仿宋"/>
                <w:bCs/>
                <w:sz w:val="21"/>
                <w:szCs w:val="21"/>
              </w:rPr>
              <w:t>李祖贺；郭青冰；支俊；王延峰；张亚洲；庾骏；刘伟华；陈辉；卜祥洲；朱寒雪</w:t>
            </w:r>
          </w:p>
        </w:tc>
        <w:tc>
          <w:tcPr>
            <w:tcW w:w="1276" w:type="dxa"/>
            <w:tcBorders>
              <w:top w:val="single" w:color="000000" w:sz="4" w:space="0"/>
              <w:left w:val="single" w:color="000000" w:sz="4" w:space="0"/>
              <w:bottom w:val="single" w:color="000000" w:sz="4" w:space="0"/>
              <w:right w:val="single" w:color="000000" w:sz="4" w:space="0"/>
            </w:tcBorders>
            <w:vAlign w:val="center"/>
          </w:tcPr>
          <w:p w14:paraId="3C119FC7">
            <w:pPr>
              <w:widowControl/>
              <w:spacing w:line="360" w:lineRule="auto"/>
              <w:jc w:val="center"/>
              <w:textAlignment w:val="center"/>
              <w:rPr>
                <w:rFonts w:hint="eastAsia" w:ascii="仿宋" w:hAnsi="仿宋" w:eastAsia="仿宋" w:cs="仿宋"/>
                <w:sz w:val="21"/>
                <w:szCs w:val="21"/>
              </w:rPr>
            </w:pPr>
            <w:r>
              <w:rPr>
                <w:rFonts w:hint="eastAsia" w:ascii="仿宋" w:hAnsi="仿宋" w:eastAsia="仿宋" w:cs="仿宋"/>
                <w:sz w:val="21"/>
                <w:szCs w:val="21"/>
              </w:rPr>
              <w:t>长期使用权（</w:t>
            </w:r>
            <w:r>
              <w:rPr>
                <w:rFonts w:hint="eastAsia" w:ascii="仿宋" w:hAnsi="仿宋" w:eastAsia="仿宋" w:cs="仿宋"/>
                <w:sz w:val="21"/>
                <w:szCs w:val="21"/>
                <w:lang w:val="en-US" w:eastAsia="zh-CN"/>
              </w:rPr>
              <w:t>10年</w:t>
            </w:r>
            <w:r>
              <w:rPr>
                <w:rFonts w:hint="eastAsia" w:ascii="仿宋" w:hAnsi="仿宋" w:eastAsia="仿宋" w:cs="仿宋"/>
                <w:sz w:val="21"/>
                <w:szCs w:val="21"/>
              </w:rPr>
              <w:t>）</w:t>
            </w:r>
          </w:p>
        </w:tc>
        <w:tc>
          <w:tcPr>
            <w:tcW w:w="709" w:type="dxa"/>
            <w:vMerge w:val="continue"/>
            <w:tcBorders>
              <w:left w:val="single" w:color="000000" w:sz="4" w:space="0"/>
              <w:right w:val="single" w:color="000000" w:sz="4" w:space="0"/>
            </w:tcBorders>
          </w:tcPr>
          <w:p w14:paraId="0B2B72BB">
            <w:pPr>
              <w:widowControl/>
              <w:spacing w:line="360" w:lineRule="auto"/>
              <w:jc w:val="center"/>
              <w:textAlignment w:val="center"/>
              <w:rPr>
                <w:rFonts w:hint="eastAsia" w:ascii="仿宋" w:hAnsi="仿宋" w:eastAsia="仿宋" w:cs="仿宋"/>
                <w:sz w:val="21"/>
                <w:szCs w:val="21"/>
              </w:rPr>
            </w:pPr>
          </w:p>
        </w:tc>
        <w:tc>
          <w:tcPr>
            <w:tcW w:w="1134" w:type="dxa"/>
            <w:vMerge w:val="continue"/>
            <w:tcBorders>
              <w:left w:val="single" w:color="000000" w:sz="4" w:space="0"/>
              <w:right w:val="single" w:color="000000" w:sz="4" w:space="0"/>
            </w:tcBorders>
            <w:shd w:val="clear" w:color="auto" w:fill="auto"/>
            <w:vAlign w:val="center"/>
          </w:tcPr>
          <w:p w14:paraId="1CDD36D1">
            <w:pPr>
              <w:widowControl/>
              <w:spacing w:line="360" w:lineRule="auto"/>
              <w:jc w:val="center"/>
              <w:textAlignment w:val="center"/>
              <w:rPr>
                <w:rFonts w:hint="eastAsia" w:ascii="仿宋" w:hAnsi="仿宋" w:eastAsia="仿宋" w:cs="仿宋"/>
                <w:bCs/>
                <w:sz w:val="21"/>
                <w:szCs w:val="21"/>
              </w:rPr>
            </w:pPr>
          </w:p>
        </w:tc>
        <w:tc>
          <w:tcPr>
            <w:tcW w:w="1417" w:type="dxa"/>
            <w:vMerge w:val="continue"/>
            <w:tcBorders>
              <w:left w:val="single" w:color="000000" w:sz="4" w:space="0"/>
              <w:right w:val="single" w:color="000000" w:sz="4" w:space="0"/>
            </w:tcBorders>
            <w:shd w:val="clear" w:color="auto" w:fill="auto"/>
            <w:vAlign w:val="center"/>
          </w:tcPr>
          <w:p w14:paraId="6D8CC352">
            <w:pPr>
              <w:widowControl/>
              <w:spacing w:line="360" w:lineRule="auto"/>
              <w:jc w:val="center"/>
              <w:textAlignment w:val="center"/>
              <w:rPr>
                <w:rFonts w:hint="eastAsia" w:ascii="仿宋" w:hAnsi="仿宋" w:eastAsia="仿宋" w:cs="仿宋"/>
                <w:bCs/>
                <w:sz w:val="21"/>
                <w:szCs w:val="21"/>
              </w:rPr>
            </w:pPr>
          </w:p>
        </w:tc>
        <w:tc>
          <w:tcPr>
            <w:tcW w:w="714" w:type="dxa"/>
            <w:tcBorders>
              <w:left w:val="single" w:color="000000" w:sz="4" w:space="0"/>
              <w:right w:val="single" w:color="000000" w:sz="4" w:space="0"/>
            </w:tcBorders>
          </w:tcPr>
          <w:p w14:paraId="4C2E00FF">
            <w:pPr>
              <w:widowControl/>
              <w:spacing w:line="360" w:lineRule="auto"/>
              <w:jc w:val="center"/>
              <w:textAlignment w:val="center"/>
              <w:rPr>
                <w:rFonts w:hint="eastAsia" w:ascii="仿宋" w:hAnsi="仿宋" w:eastAsia="仿宋" w:cs="仿宋"/>
                <w:bCs/>
                <w:sz w:val="21"/>
                <w:szCs w:val="21"/>
              </w:rPr>
            </w:pPr>
          </w:p>
        </w:tc>
      </w:tr>
      <w:tr w14:paraId="6FE0B593">
        <w:tblPrEx>
          <w:tblCellMar>
            <w:top w:w="0" w:type="dxa"/>
            <w:left w:w="108" w:type="dxa"/>
            <w:bottom w:w="0" w:type="dxa"/>
            <w:right w:w="108" w:type="dxa"/>
          </w:tblCellMar>
        </w:tblPrEx>
        <w:trPr>
          <w:trHeight w:val="3168"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1D498">
            <w:pPr>
              <w:widowControl/>
              <w:spacing w:line="360" w:lineRule="auto"/>
              <w:jc w:val="center"/>
              <w:textAlignment w:val="center"/>
              <w:rPr>
                <w:rFonts w:hint="eastAsia" w:ascii="仿宋" w:hAnsi="仿宋" w:eastAsia="仿宋" w:cs="仿宋"/>
                <w:color w:val="000000"/>
                <w:sz w:val="21"/>
                <w:szCs w:val="21"/>
              </w:rPr>
            </w:pPr>
            <w:r>
              <w:rPr>
                <w:rFonts w:hint="eastAsia" w:ascii="仿宋" w:hAnsi="仿宋" w:eastAsia="仿宋" w:cs="仿宋"/>
                <w:color w:val="000000"/>
                <w:sz w:val="21"/>
                <w:szCs w:val="21"/>
              </w:rPr>
              <w:t>4</w:t>
            </w:r>
          </w:p>
        </w:tc>
        <w:tc>
          <w:tcPr>
            <w:tcW w:w="1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5B743">
            <w:pPr>
              <w:widowControl/>
              <w:spacing w:line="360" w:lineRule="auto"/>
              <w:textAlignment w:val="center"/>
              <w:rPr>
                <w:rFonts w:hint="eastAsia" w:ascii="仿宋" w:hAnsi="仿宋" w:eastAsia="仿宋" w:cs="仿宋"/>
                <w:sz w:val="21"/>
                <w:szCs w:val="21"/>
              </w:rPr>
            </w:pPr>
            <w:r>
              <w:rPr>
                <w:rFonts w:hint="eastAsia" w:ascii="仿宋" w:hAnsi="仿宋" w:eastAsia="仿宋" w:cs="仿宋"/>
                <w:sz w:val="21"/>
                <w:szCs w:val="21"/>
              </w:rPr>
              <w:t>一种基于深度学习的用户情感分析方法</w:t>
            </w:r>
          </w:p>
        </w:tc>
        <w:tc>
          <w:tcPr>
            <w:tcW w:w="4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482D8">
            <w:pPr>
              <w:widowControl/>
              <w:spacing w:line="360" w:lineRule="auto"/>
              <w:jc w:val="left"/>
              <w:textAlignment w:val="center"/>
              <w:rPr>
                <w:rFonts w:hint="eastAsia" w:ascii="仿宋" w:hAnsi="仿宋" w:eastAsia="仿宋" w:cs="仿宋"/>
                <w:sz w:val="21"/>
                <w:szCs w:val="21"/>
              </w:rPr>
            </w:pPr>
            <w:r>
              <w:rPr>
                <w:rFonts w:hint="eastAsia" w:ascii="仿宋" w:hAnsi="仿宋" w:eastAsia="仿宋" w:cs="仿宋"/>
                <w:sz w:val="21"/>
                <w:szCs w:val="21"/>
              </w:rPr>
              <w:t>本发明提供了一种基于深度学习的用户情感分析方法，结合基本的词频特征选择算法，Word2vec算法将文本的词频信息，情感信息，语义信息有效的结合起来并且将新构建的情感语义词向量与原来的词向量进行了对比试验，有效的证明了情感语义词向量的有效性。</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C7BD3">
            <w:pPr>
              <w:widowControl/>
              <w:spacing w:line="360" w:lineRule="auto"/>
              <w:textAlignment w:val="center"/>
              <w:rPr>
                <w:rFonts w:hint="eastAsia" w:ascii="仿宋" w:hAnsi="仿宋" w:eastAsia="仿宋" w:cs="仿宋"/>
                <w:bCs/>
                <w:sz w:val="21"/>
                <w:szCs w:val="21"/>
              </w:rPr>
            </w:pPr>
            <w:r>
              <w:rPr>
                <w:rFonts w:hint="eastAsia" w:ascii="仿宋" w:hAnsi="仿宋" w:eastAsia="仿宋" w:cs="仿宋"/>
                <w:bCs/>
                <w:sz w:val="21"/>
                <w:szCs w:val="21"/>
              </w:rPr>
              <w:t>李祖贺;尚松涛;支俊;马江涛;杨学东;王凤琴;于源</w:t>
            </w:r>
          </w:p>
        </w:tc>
        <w:tc>
          <w:tcPr>
            <w:tcW w:w="1276" w:type="dxa"/>
            <w:tcBorders>
              <w:top w:val="single" w:color="000000" w:sz="4" w:space="0"/>
              <w:left w:val="single" w:color="000000" w:sz="4" w:space="0"/>
              <w:bottom w:val="single" w:color="000000" w:sz="4" w:space="0"/>
              <w:right w:val="single" w:color="000000" w:sz="4" w:space="0"/>
            </w:tcBorders>
            <w:vAlign w:val="center"/>
          </w:tcPr>
          <w:p w14:paraId="641721F2">
            <w:pPr>
              <w:widowControl/>
              <w:spacing w:line="360" w:lineRule="auto"/>
              <w:jc w:val="center"/>
              <w:textAlignment w:val="center"/>
              <w:rPr>
                <w:rFonts w:hint="eastAsia" w:ascii="仿宋" w:hAnsi="仿宋" w:eastAsia="仿宋" w:cs="仿宋"/>
                <w:sz w:val="21"/>
                <w:szCs w:val="21"/>
              </w:rPr>
            </w:pPr>
            <w:r>
              <w:rPr>
                <w:rFonts w:hint="eastAsia" w:ascii="仿宋" w:hAnsi="仿宋" w:eastAsia="仿宋" w:cs="仿宋"/>
                <w:sz w:val="21"/>
                <w:szCs w:val="21"/>
              </w:rPr>
              <w:t>长期使用权（</w:t>
            </w:r>
            <w:r>
              <w:rPr>
                <w:rFonts w:hint="eastAsia" w:ascii="仿宋" w:hAnsi="仿宋" w:eastAsia="仿宋" w:cs="仿宋"/>
                <w:sz w:val="21"/>
                <w:szCs w:val="21"/>
                <w:lang w:val="en-US" w:eastAsia="zh-CN"/>
              </w:rPr>
              <w:t>10年</w:t>
            </w:r>
            <w:r>
              <w:rPr>
                <w:rFonts w:hint="eastAsia" w:ascii="仿宋" w:hAnsi="仿宋" w:eastAsia="仿宋" w:cs="仿宋"/>
                <w:sz w:val="21"/>
                <w:szCs w:val="21"/>
              </w:rPr>
              <w:t>）</w:t>
            </w:r>
          </w:p>
        </w:tc>
        <w:tc>
          <w:tcPr>
            <w:tcW w:w="709" w:type="dxa"/>
            <w:vMerge w:val="continue"/>
            <w:tcBorders>
              <w:left w:val="single" w:color="000000" w:sz="4" w:space="0"/>
              <w:right w:val="single" w:color="000000" w:sz="4" w:space="0"/>
            </w:tcBorders>
          </w:tcPr>
          <w:p w14:paraId="667E2803">
            <w:pPr>
              <w:widowControl/>
              <w:spacing w:line="360" w:lineRule="auto"/>
              <w:jc w:val="center"/>
              <w:textAlignment w:val="center"/>
              <w:rPr>
                <w:rFonts w:hint="eastAsia" w:ascii="仿宋" w:hAnsi="仿宋" w:eastAsia="仿宋" w:cs="仿宋"/>
                <w:sz w:val="21"/>
                <w:szCs w:val="21"/>
              </w:rPr>
            </w:pPr>
          </w:p>
        </w:tc>
        <w:tc>
          <w:tcPr>
            <w:tcW w:w="1134" w:type="dxa"/>
            <w:vMerge w:val="continue"/>
            <w:tcBorders>
              <w:left w:val="single" w:color="000000" w:sz="4" w:space="0"/>
              <w:right w:val="single" w:color="000000" w:sz="4" w:space="0"/>
            </w:tcBorders>
            <w:shd w:val="clear" w:color="auto" w:fill="auto"/>
            <w:vAlign w:val="center"/>
          </w:tcPr>
          <w:p w14:paraId="10D1F8E6">
            <w:pPr>
              <w:widowControl/>
              <w:spacing w:line="360" w:lineRule="auto"/>
              <w:jc w:val="center"/>
              <w:textAlignment w:val="center"/>
              <w:rPr>
                <w:rFonts w:hint="eastAsia" w:ascii="仿宋" w:hAnsi="仿宋" w:eastAsia="仿宋" w:cs="仿宋"/>
                <w:bCs/>
                <w:sz w:val="21"/>
                <w:szCs w:val="21"/>
              </w:rPr>
            </w:pPr>
          </w:p>
        </w:tc>
        <w:tc>
          <w:tcPr>
            <w:tcW w:w="1417" w:type="dxa"/>
            <w:vMerge w:val="continue"/>
            <w:tcBorders>
              <w:left w:val="single" w:color="000000" w:sz="4" w:space="0"/>
              <w:right w:val="single" w:color="000000" w:sz="4" w:space="0"/>
            </w:tcBorders>
            <w:shd w:val="clear" w:color="auto" w:fill="auto"/>
            <w:vAlign w:val="center"/>
          </w:tcPr>
          <w:p w14:paraId="6246420E">
            <w:pPr>
              <w:widowControl/>
              <w:spacing w:line="360" w:lineRule="auto"/>
              <w:jc w:val="center"/>
              <w:textAlignment w:val="center"/>
              <w:rPr>
                <w:rFonts w:hint="eastAsia" w:ascii="仿宋" w:hAnsi="仿宋" w:eastAsia="仿宋" w:cs="仿宋"/>
                <w:bCs/>
                <w:sz w:val="21"/>
                <w:szCs w:val="21"/>
              </w:rPr>
            </w:pPr>
          </w:p>
        </w:tc>
        <w:tc>
          <w:tcPr>
            <w:tcW w:w="714" w:type="dxa"/>
            <w:tcBorders>
              <w:left w:val="single" w:color="000000" w:sz="4" w:space="0"/>
              <w:right w:val="single" w:color="000000" w:sz="4" w:space="0"/>
            </w:tcBorders>
          </w:tcPr>
          <w:p w14:paraId="3C60FD43">
            <w:pPr>
              <w:widowControl/>
              <w:spacing w:line="360" w:lineRule="auto"/>
              <w:jc w:val="center"/>
              <w:textAlignment w:val="center"/>
              <w:rPr>
                <w:rFonts w:hint="eastAsia" w:ascii="仿宋" w:hAnsi="仿宋" w:eastAsia="仿宋" w:cs="仿宋"/>
                <w:bCs/>
                <w:sz w:val="21"/>
                <w:szCs w:val="21"/>
              </w:rPr>
            </w:pPr>
          </w:p>
        </w:tc>
      </w:tr>
      <w:tr w14:paraId="4EE479BA">
        <w:tblPrEx>
          <w:tblCellMar>
            <w:top w:w="0" w:type="dxa"/>
            <w:left w:w="108" w:type="dxa"/>
            <w:bottom w:w="0" w:type="dxa"/>
            <w:right w:w="108" w:type="dxa"/>
          </w:tblCellMar>
        </w:tblPrEx>
        <w:trPr>
          <w:trHeight w:val="3252"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1FE07">
            <w:pPr>
              <w:widowControl/>
              <w:spacing w:line="360" w:lineRule="auto"/>
              <w:jc w:val="center"/>
              <w:textAlignment w:val="center"/>
              <w:rPr>
                <w:rFonts w:hint="eastAsia" w:ascii="仿宋" w:hAnsi="仿宋" w:eastAsia="仿宋" w:cs="仿宋"/>
                <w:color w:val="000000"/>
                <w:sz w:val="21"/>
                <w:szCs w:val="21"/>
              </w:rPr>
            </w:pPr>
            <w:r>
              <w:rPr>
                <w:rFonts w:hint="eastAsia" w:ascii="仿宋" w:hAnsi="仿宋" w:eastAsia="仿宋" w:cs="仿宋"/>
                <w:color w:val="000000"/>
                <w:sz w:val="21"/>
                <w:szCs w:val="21"/>
              </w:rPr>
              <w:t>5</w:t>
            </w:r>
          </w:p>
        </w:tc>
        <w:tc>
          <w:tcPr>
            <w:tcW w:w="1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B1C33">
            <w:pPr>
              <w:widowControl/>
              <w:spacing w:line="360" w:lineRule="auto"/>
              <w:textAlignment w:val="center"/>
              <w:rPr>
                <w:rFonts w:hint="eastAsia" w:ascii="仿宋" w:hAnsi="仿宋" w:eastAsia="仿宋" w:cs="仿宋"/>
                <w:sz w:val="21"/>
                <w:szCs w:val="21"/>
              </w:rPr>
            </w:pPr>
            <w:r>
              <w:rPr>
                <w:rFonts w:hint="eastAsia" w:ascii="仿宋" w:hAnsi="仿宋" w:eastAsia="仿宋" w:cs="仿宋"/>
                <w:sz w:val="21"/>
                <w:szCs w:val="21"/>
              </w:rPr>
              <w:t>一种自动图像语义描述方法</w:t>
            </w:r>
          </w:p>
        </w:tc>
        <w:tc>
          <w:tcPr>
            <w:tcW w:w="4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59935">
            <w:pPr>
              <w:widowControl/>
              <w:spacing w:line="360" w:lineRule="auto"/>
              <w:textAlignment w:val="center"/>
              <w:rPr>
                <w:rFonts w:hint="eastAsia" w:ascii="仿宋" w:hAnsi="仿宋" w:eastAsia="仿宋" w:cs="仿宋"/>
                <w:sz w:val="21"/>
                <w:szCs w:val="21"/>
              </w:rPr>
            </w:pPr>
            <w:r>
              <w:rPr>
                <w:rFonts w:hint="eastAsia" w:ascii="仿宋" w:hAnsi="仿宋" w:eastAsia="仿宋" w:cs="仿宋"/>
                <w:sz w:val="21"/>
                <w:szCs w:val="21"/>
              </w:rPr>
              <w:t>本发明提供了一种自动图像语义描述方法，可以有效融合图像的底层特征和图像语义描述高层语义信息，精度高，准确度高，具有明确性、形式化、共享性和概念化等特点，可以广泛地应用到包括信息检索、信息提取、语义网络和知识管理在内的众多领域，适用性强。</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3676F">
            <w:pPr>
              <w:widowControl/>
              <w:spacing w:line="360" w:lineRule="auto"/>
              <w:textAlignment w:val="center"/>
              <w:rPr>
                <w:rFonts w:hint="eastAsia" w:ascii="仿宋" w:hAnsi="仿宋" w:eastAsia="仿宋" w:cs="仿宋"/>
                <w:bCs/>
                <w:sz w:val="21"/>
                <w:szCs w:val="21"/>
              </w:rPr>
            </w:pPr>
            <w:r>
              <w:rPr>
                <w:rFonts w:hint="eastAsia" w:ascii="仿宋" w:hAnsi="仿宋" w:eastAsia="仿宋" w:cs="仿宋"/>
                <w:bCs/>
                <w:sz w:val="21"/>
                <w:szCs w:val="21"/>
              </w:rPr>
              <w:t>李祖贺;张涛;钱晓亮;曾黎;金保华;于泽琦;田二林;于源</w:t>
            </w:r>
          </w:p>
        </w:tc>
        <w:tc>
          <w:tcPr>
            <w:tcW w:w="1276" w:type="dxa"/>
            <w:tcBorders>
              <w:top w:val="single" w:color="000000" w:sz="4" w:space="0"/>
              <w:left w:val="single" w:color="000000" w:sz="4" w:space="0"/>
              <w:bottom w:val="single" w:color="000000" w:sz="4" w:space="0"/>
              <w:right w:val="single" w:color="000000" w:sz="4" w:space="0"/>
            </w:tcBorders>
            <w:vAlign w:val="center"/>
          </w:tcPr>
          <w:p w14:paraId="38E3FDB8">
            <w:pPr>
              <w:widowControl/>
              <w:spacing w:line="360" w:lineRule="auto"/>
              <w:jc w:val="center"/>
              <w:textAlignment w:val="center"/>
              <w:rPr>
                <w:rFonts w:hint="eastAsia" w:ascii="仿宋" w:hAnsi="仿宋" w:eastAsia="仿宋" w:cs="仿宋"/>
                <w:sz w:val="21"/>
                <w:szCs w:val="21"/>
              </w:rPr>
            </w:pPr>
            <w:r>
              <w:rPr>
                <w:rFonts w:hint="eastAsia" w:ascii="仿宋" w:hAnsi="仿宋" w:eastAsia="仿宋" w:cs="仿宋"/>
                <w:sz w:val="21"/>
                <w:szCs w:val="21"/>
              </w:rPr>
              <w:t>长期使用权（</w:t>
            </w:r>
            <w:r>
              <w:rPr>
                <w:rFonts w:hint="eastAsia" w:ascii="仿宋" w:hAnsi="仿宋" w:eastAsia="仿宋" w:cs="仿宋"/>
                <w:sz w:val="21"/>
                <w:szCs w:val="21"/>
                <w:lang w:val="en-US" w:eastAsia="zh-CN"/>
              </w:rPr>
              <w:t>10年</w:t>
            </w:r>
            <w:r>
              <w:rPr>
                <w:rFonts w:hint="eastAsia" w:ascii="仿宋" w:hAnsi="仿宋" w:eastAsia="仿宋" w:cs="仿宋"/>
                <w:sz w:val="21"/>
                <w:szCs w:val="21"/>
              </w:rPr>
              <w:t>）</w:t>
            </w:r>
          </w:p>
        </w:tc>
        <w:tc>
          <w:tcPr>
            <w:tcW w:w="709" w:type="dxa"/>
            <w:vMerge w:val="continue"/>
            <w:tcBorders>
              <w:left w:val="single" w:color="000000" w:sz="4" w:space="0"/>
              <w:right w:val="single" w:color="000000" w:sz="4" w:space="0"/>
            </w:tcBorders>
          </w:tcPr>
          <w:p w14:paraId="1D894101">
            <w:pPr>
              <w:widowControl/>
              <w:spacing w:line="360" w:lineRule="auto"/>
              <w:jc w:val="center"/>
              <w:textAlignment w:val="center"/>
              <w:rPr>
                <w:rFonts w:hint="eastAsia" w:ascii="仿宋" w:hAnsi="仿宋" w:eastAsia="仿宋" w:cs="仿宋"/>
                <w:sz w:val="21"/>
                <w:szCs w:val="21"/>
              </w:rPr>
            </w:pPr>
          </w:p>
        </w:tc>
        <w:tc>
          <w:tcPr>
            <w:tcW w:w="1134" w:type="dxa"/>
            <w:vMerge w:val="continue"/>
            <w:tcBorders>
              <w:left w:val="single" w:color="000000" w:sz="4" w:space="0"/>
              <w:right w:val="single" w:color="000000" w:sz="4" w:space="0"/>
            </w:tcBorders>
            <w:shd w:val="clear" w:color="auto" w:fill="auto"/>
            <w:vAlign w:val="center"/>
          </w:tcPr>
          <w:p w14:paraId="358F8FF1">
            <w:pPr>
              <w:widowControl/>
              <w:spacing w:line="360" w:lineRule="auto"/>
              <w:jc w:val="center"/>
              <w:textAlignment w:val="center"/>
              <w:rPr>
                <w:rFonts w:hint="eastAsia" w:ascii="仿宋" w:hAnsi="仿宋" w:eastAsia="仿宋" w:cs="仿宋"/>
                <w:bCs/>
                <w:sz w:val="21"/>
                <w:szCs w:val="21"/>
              </w:rPr>
            </w:pPr>
          </w:p>
        </w:tc>
        <w:tc>
          <w:tcPr>
            <w:tcW w:w="1417" w:type="dxa"/>
            <w:vMerge w:val="continue"/>
            <w:tcBorders>
              <w:left w:val="single" w:color="000000" w:sz="4" w:space="0"/>
              <w:right w:val="single" w:color="000000" w:sz="4" w:space="0"/>
            </w:tcBorders>
            <w:shd w:val="clear" w:color="auto" w:fill="auto"/>
            <w:vAlign w:val="center"/>
          </w:tcPr>
          <w:p w14:paraId="5F91DC74">
            <w:pPr>
              <w:widowControl/>
              <w:spacing w:line="360" w:lineRule="auto"/>
              <w:jc w:val="center"/>
              <w:textAlignment w:val="center"/>
              <w:rPr>
                <w:rFonts w:hint="eastAsia" w:ascii="仿宋" w:hAnsi="仿宋" w:eastAsia="仿宋" w:cs="仿宋"/>
                <w:bCs/>
                <w:sz w:val="21"/>
                <w:szCs w:val="21"/>
              </w:rPr>
            </w:pPr>
          </w:p>
        </w:tc>
        <w:tc>
          <w:tcPr>
            <w:tcW w:w="714" w:type="dxa"/>
            <w:tcBorders>
              <w:left w:val="single" w:color="000000" w:sz="4" w:space="0"/>
              <w:right w:val="single" w:color="000000" w:sz="4" w:space="0"/>
            </w:tcBorders>
          </w:tcPr>
          <w:p w14:paraId="79C3280D">
            <w:pPr>
              <w:widowControl/>
              <w:spacing w:line="360" w:lineRule="auto"/>
              <w:jc w:val="center"/>
              <w:textAlignment w:val="center"/>
              <w:rPr>
                <w:rFonts w:hint="eastAsia" w:ascii="仿宋" w:hAnsi="仿宋" w:eastAsia="仿宋" w:cs="仿宋"/>
                <w:bCs/>
                <w:sz w:val="21"/>
                <w:szCs w:val="21"/>
              </w:rPr>
            </w:pPr>
          </w:p>
        </w:tc>
      </w:tr>
      <w:tr w14:paraId="625D6FE7">
        <w:tblPrEx>
          <w:tblCellMar>
            <w:top w:w="0" w:type="dxa"/>
            <w:left w:w="108" w:type="dxa"/>
            <w:bottom w:w="0" w:type="dxa"/>
            <w:right w:w="108" w:type="dxa"/>
          </w:tblCellMar>
        </w:tblPrEx>
        <w:trPr>
          <w:trHeight w:val="3519"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4DE53">
            <w:pPr>
              <w:widowControl/>
              <w:spacing w:line="360" w:lineRule="auto"/>
              <w:jc w:val="center"/>
              <w:textAlignment w:val="center"/>
              <w:rPr>
                <w:rFonts w:hint="eastAsia" w:ascii="仿宋" w:hAnsi="仿宋" w:eastAsia="仿宋" w:cs="仿宋"/>
                <w:color w:val="000000"/>
                <w:sz w:val="21"/>
                <w:szCs w:val="21"/>
              </w:rPr>
            </w:pPr>
            <w:r>
              <w:rPr>
                <w:rFonts w:hint="eastAsia" w:ascii="仿宋" w:hAnsi="仿宋" w:eastAsia="仿宋" w:cs="仿宋"/>
                <w:color w:val="000000"/>
                <w:sz w:val="21"/>
                <w:szCs w:val="21"/>
              </w:rPr>
              <w:t>6</w:t>
            </w:r>
          </w:p>
        </w:tc>
        <w:tc>
          <w:tcPr>
            <w:tcW w:w="1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20199">
            <w:pPr>
              <w:widowControl/>
              <w:spacing w:line="360" w:lineRule="auto"/>
              <w:textAlignment w:val="center"/>
              <w:rPr>
                <w:rFonts w:hint="eastAsia" w:ascii="仿宋" w:hAnsi="仿宋" w:eastAsia="仿宋" w:cs="仿宋"/>
                <w:sz w:val="21"/>
                <w:szCs w:val="21"/>
              </w:rPr>
            </w:pPr>
            <w:r>
              <w:rPr>
                <w:rFonts w:hint="eastAsia" w:ascii="仿宋" w:hAnsi="仿宋" w:eastAsia="仿宋" w:cs="仿宋"/>
                <w:sz w:val="21"/>
                <w:szCs w:val="21"/>
              </w:rPr>
              <w:t>一种基于DFMN和DSD的单模态人脸活体检测方法</w:t>
            </w:r>
          </w:p>
        </w:tc>
        <w:tc>
          <w:tcPr>
            <w:tcW w:w="4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4368E">
            <w:pPr>
              <w:widowControl/>
              <w:spacing w:line="360" w:lineRule="auto"/>
              <w:jc w:val="left"/>
              <w:textAlignment w:val="center"/>
              <w:rPr>
                <w:rFonts w:hint="eastAsia" w:ascii="仿宋" w:hAnsi="仿宋" w:eastAsia="仿宋" w:cs="仿宋"/>
                <w:sz w:val="21"/>
                <w:szCs w:val="21"/>
              </w:rPr>
            </w:pPr>
            <w:r>
              <w:rPr>
                <w:rFonts w:hint="eastAsia" w:ascii="仿宋" w:hAnsi="仿宋" w:eastAsia="仿宋" w:cs="仿宋"/>
                <w:sz w:val="21"/>
                <w:szCs w:val="21"/>
              </w:rPr>
              <w:t>本发明提出了一种基于DFMN和DSD的单模态人脸活体检测方法，用于解决传统方法无法精准识别出人脸活体与非活体之间差异的问题，通过深度卷积神经网络DFMN和DSD方法的结合，学习了真假面部中的重要线索，能够有效地消除可将光人脸图像中面部特征的干扰，提升了可见光模态下人脸活体检测的准确率。</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DB5AF">
            <w:pPr>
              <w:widowControl/>
              <w:spacing w:line="360" w:lineRule="auto"/>
              <w:textAlignment w:val="center"/>
              <w:rPr>
                <w:rFonts w:hint="eastAsia" w:ascii="仿宋" w:hAnsi="仿宋" w:eastAsia="仿宋" w:cs="仿宋"/>
                <w:bCs/>
                <w:sz w:val="21"/>
                <w:szCs w:val="21"/>
              </w:rPr>
            </w:pPr>
            <w:r>
              <w:rPr>
                <w:rFonts w:hint="eastAsia" w:ascii="仿宋" w:hAnsi="仿宋" w:eastAsia="仿宋" w:cs="仿宋"/>
                <w:bCs/>
                <w:sz w:val="21"/>
                <w:szCs w:val="21"/>
              </w:rPr>
              <w:t>李祖贺;崔宇豪;陈燕;杨永双;陈浩然;蒋斌;庾骏；王凤琴;刘伟华;陈辉;卜祥洲;朱寒雪</w:t>
            </w:r>
          </w:p>
        </w:tc>
        <w:tc>
          <w:tcPr>
            <w:tcW w:w="1276" w:type="dxa"/>
            <w:tcBorders>
              <w:top w:val="single" w:color="000000" w:sz="4" w:space="0"/>
              <w:left w:val="single" w:color="000000" w:sz="4" w:space="0"/>
              <w:bottom w:val="single" w:color="000000" w:sz="4" w:space="0"/>
              <w:right w:val="single" w:color="000000" w:sz="4" w:space="0"/>
            </w:tcBorders>
            <w:vAlign w:val="center"/>
          </w:tcPr>
          <w:p w14:paraId="75FFDB14">
            <w:pPr>
              <w:widowControl/>
              <w:spacing w:line="360" w:lineRule="auto"/>
              <w:jc w:val="center"/>
              <w:textAlignment w:val="center"/>
              <w:rPr>
                <w:rFonts w:hint="eastAsia" w:ascii="仿宋" w:hAnsi="仿宋" w:eastAsia="仿宋" w:cs="仿宋"/>
                <w:sz w:val="21"/>
                <w:szCs w:val="21"/>
              </w:rPr>
            </w:pPr>
            <w:r>
              <w:rPr>
                <w:rFonts w:hint="eastAsia" w:ascii="仿宋" w:hAnsi="仿宋" w:eastAsia="仿宋" w:cs="仿宋"/>
                <w:sz w:val="21"/>
                <w:szCs w:val="21"/>
              </w:rPr>
              <w:t>长期使用权（</w:t>
            </w:r>
            <w:r>
              <w:rPr>
                <w:rFonts w:hint="eastAsia" w:ascii="仿宋" w:hAnsi="仿宋" w:eastAsia="仿宋" w:cs="仿宋"/>
                <w:sz w:val="21"/>
                <w:szCs w:val="21"/>
                <w:lang w:val="en-US" w:eastAsia="zh-CN"/>
              </w:rPr>
              <w:t>10年</w:t>
            </w:r>
            <w:r>
              <w:rPr>
                <w:rFonts w:hint="eastAsia" w:ascii="仿宋" w:hAnsi="仿宋" w:eastAsia="仿宋" w:cs="仿宋"/>
                <w:sz w:val="21"/>
                <w:szCs w:val="21"/>
              </w:rPr>
              <w:t>）</w:t>
            </w:r>
          </w:p>
        </w:tc>
        <w:tc>
          <w:tcPr>
            <w:tcW w:w="709" w:type="dxa"/>
            <w:vMerge w:val="continue"/>
            <w:tcBorders>
              <w:left w:val="single" w:color="000000" w:sz="4" w:space="0"/>
              <w:right w:val="single" w:color="000000" w:sz="4" w:space="0"/>
            </w:tcBorders>
          </w:tcPr>
          <w:p w14:paraId="73848CAB">
            <w:pPr>
              <w:widowControl/>
              <w:spacing w:line="360" w:lineRule="auto"/>
              <w:jc w:val="center"/>
              <w:textAlignment w:val="center"/>
              <w:rPr>
                <w:rFonts w:hint="eastAsia" w:ascii="仿宋" w:hAnsi="仿宋" w:eastAsia="仿宋" w:cs="仿宋"/>
                <w:sz w:val="21"/>
                <w:szCs w:val="21"/>
              </w:rPr>
            </w:pPr>
          </w:p>
        </w:tc>
        <w:tc>
          <w:tcPr>
            <w:tcW w:w="1134" w:type="dxa"/>
            <w:vMerge w:val="continue"/>
            <w:tcBorders>
              <w:left w:val="single" w:color="000000" w:sz="4" w:space="0"/>
              <w:right w:val="single" w:color="000000" w:sz="4" w:space="0"/>
            </w:tcBorders>
            <w:shd w:val="clear" w:color="auto" w:fill="auto"/>
            <w:vAlign w:val="center"/>
          </w:tcPr>
          <w:p w14:paraId="3F156672">
            <w:pPr>
              <w:widowControl/>
              <w:spacing w:line="360" w:lineRule="auto"/>
              <w:jc w:val="center"/>
              <w:textAlignment w:val="center"/>
              <w:rPr>
                <w:rFonts w:hint="eastAsia" w:ascii="仿宋" w:hAnsi="仿宋" w:eastAsia="仿宋" w:cs="仿宋"/>
                <w:bCs/>
                <w:sz w:val="21"/>
                <w:szCs w:val="21"/>
              </w:rPr>
            </w:pPr>
          </w:p>
        </w:tc>
        <w:tc>
          <w:tcPr>
            <w:tcW w:w="1417" w:type="dxa"/>
            <w:vMerge w:val="continue"/>
            <w:tcBorders>
              <w:left w:val="single" w:color="000000" w:sz="4" w:space="0"/>
              <w:right w:val="single" w:color="000000" w:sz="4" w:space="0"/>
            </w:tcBorders>
            <w:shd w:val="clear" w:color="auto" w:fill="auto"/>
            <w:vAlign w:val="center"/>
          </w:tcPr>
          <w:p w14:paraId="3307F3AA">
            <w:pPr>
              <w:widowControl/>
              <w:spacing w:line="360" w:lineRule="auto"/>
              <w:jc w:val="center"/>
              <w:textAlignment w:val="center"/>
              <w:rPr>
                <w:rFonts w:hint="eastAsia" w:ascii="仿宋" w:hAnsi="仿宋" w:eastAsia="仿宋" w:cs="仿宋"/>
                <w:bCs/>
                <w:sz w:val="21"/>
                <w:szCs w:val="21"/>
              </w:rPr>
            </w:pPr>
          </w:p>
        </w:tc>
        <w:tc>
          <w:tcPr>
            <w:tcW w:w="714" w:type="dxa"/>
            <w:tcBorders>
              <w:left w:val="single" w:color="000000" w:sz="4" w:space="0"/>
              <w:right w:val="single" w:color="000000" w:sz="4" w:space="0"/>
            </w:tcBorders>
          </w:tcPr>
          <w:p w14:paraId="531B88D7">
            <w:pPr>
              <w:widowControl/>
              <w:spacing w:line="360" w:lineRule="auto"/>
              <w:jc w:val="center"/>
              <w:textAlignment w:val="center"/>
              <w:rPr>
                <w:rFonts w:hint="eastAsia" w:ascii="仿宋" w:hAnsi="仿宋" w:eastAsia="仿宋" w:cs="仿宋"/>
                <w:bCs/>
                <w:sz w:val="21"/>
                <w:szCs w:val="21"/>
              </w:rPr>
            </w:pPr>
          </w:p>
        </w:tc>
      </w:tr>
      <w:tr w14:paraId="28E7852C">
        <w:tblPrEx>
          <w:tblCellMar>
            <w:top w:w="0" w:type="dxa"/>
            <w:left w:w="108" w:type="dxa"/>
            <w:bottom w:w="0" w:type="dxa"/>
            <w:right w:w="108" w:type="dxa"/>
          </w:tblCellMar>
        </w:tblPrEx>
        <w:trPr>
          <w:trHeight w:val="1240"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D73E0">
            <w:pPr>
              <w:widowControl/>
              <w:spacing w:line="360" w:lineRule="auto"/>
              <w:jc w:val="center"/>
              <w:textAlignment w:val="center"/>
              <w:rPr>
                <w:rFonts w:hint="eastAsia" w:ascii="仿宋" w:hAnsi="仿宋" w:eastAsia="仿宋" w:cs="仿宋"/>
                <w:color w:val="000000"/>
                <w:sz w:val="21"/>
                <w:szCs w:val="21"/>
              </w:rPr>
            </w:pPr>
            <w:r>
              <w:rPr>
                <w:rFonts w:hint="eastAsia" w:ascii="仿宋" w:hAnsi="仿宋" w:eastAsia="仿宋" w:cs="仿宋"/>
                <w:color w:val="000000"/>
                <w:sz w:val="21"/>
                <w:szCs w:val="21"/>
              </w:rPr>
              <w:t>7</w:t>
            </w:r>
          </w:p>
        </w:tc>
        <w:tc>
          <w:tcPr>
            <w:tcW w:w="1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340E7">
            <w:pPr>
              <w:widowControl/>
              <w:spacing w:line="360" w:lineRule="auto"/>
              <w:textAlignment w:val="center"/>
              <w:rPr>
                <w:rFonts w:hint="eastAsia" w:ascii="仿宋" w:hAnsi="仿宋" w:eastAsia="仿宋" w:cs="仿宋"/>
                <w:sz w:val="21"/>
                <w:szCs w:val="21"/>
              </w:rPr>
            </w:pPr>
            <w:r>
              <w:rPr>
                <w:rFonts w:hint="eastAsia" w:ascii="仿宋" w:hAnsi="仿宋" w:eastAsia="仿宋" w:cs="仿宋"/>
                <w:sz w:val="21"/>
                <w:szCs w:val="21"/>
              </w:rPr>
              <w:t>一种基于多光谱双目立体视觉的视频异常行为检测方法和系统</w:t>
            </w:r>
          </w:p>
        </w:tc>
        <w:tc>
          <w:tcPr>
            <w:tcW w:w="4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DA04F">
            <w:pPr>
              <w:widowControl/>
              <w:spacing w:line="360" w:lineRule="auto"/>
              <w:jc w:val="left"/>
              <w:textAlignment w:val="center"/>
              <w:rPr>
                <w:rFonts w:hint="eastAsia" w:ascii="仿宋" w:hAnsi="仿宋" w:eastAsia="仿宋" w:cs="仿宋"/>
                <w:sz w:val="21"/>
                <w:szCs w:val="21"/>
              </w:rPr>
            </w:pPr>
            <w:r>
              <w:rPr>
                <w:rFonts w:hint="eastAsia" w:ascii="仿宋" w:hAnsi="仿宋" w:eastAsia="仿宋" w:cs="仿宋"/>
                <w:sz w:val="21"/>
                <w:szCs w:val="21"/>
              </w:rPr>
              <w:t>本发明公开了一种基于多光谱双目立体视觉的视频异常行为检测方法和系统，该方法包括基于空间坐标变换关系和图像配准模型，在多光谱平台下对双目视频进行视觉标定，根据标定结果实现图像背景建模，分割前景目标；针对分割后的目标，通过建立目标表观纹理模型、运动显著性模型和深度显著性模型来确定目标在全局和局部时空域中的各个光谱维显著性特征；将所有显著性特征在不同尺度下组成多尺度多模态特征融合模型，通过融合模型检测目标的异常行为。本发明提高了目标异常检测效率和检测准确性。</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BA7A2">
            <w:pPr>
              <w:widowControl/>
              <w:spacing w:line="360" w:lineRule="auto"/>
              <w:textAlignment w:val="center"/>
              <w:rPr>
                <w:rFonts w:hint="eastAsia" w:ascii="仿宋" w:hAnsi="仿宋" w:eastAsia="仿宋" w:cs="仿宋"/>
                <w:bCs/>
                <w:sz w:val="21"/>
                <w:szCs w:val="21"/>
              </w:rPr>
            </w:pPr>
            <w:r>
              <w:rPr>
                <w:rFonts w:hint="eastAsia" w:ascii="仿宋" w:hAnsi="仿宋" w:eastAsia="仿宋" w:cs="仿宋"/>
                <w:bCs/>
                <w:sz w:val="21"/>
                <w:szCs w:val="21"/>
              </w:rPr>
              <w:t>陈燕;刘攀博;李祖贺;王凤琴;杨永双;王丽萍</w:t>
            </w:r>
          </w:p>
        </w:tc>
        <w:tc>
          <w:tcPr>
            <w:tcW w:w="1276" w:type="dxa"/>
            <w:tcBorders>
              <w:top w:val="single" w:color="000000" w:sz="4" w:space="0"/>
              <w:left w:val="single" w:color="000000" w:sz="4" w:space="0"/>
              <w:bottom w:val="single" w:color="000000" w:sz="4" w:space="0"/>
              <w:right w:val="single" w:color="000000" w:sz="4" w:space="0"/>
            </w:tcBorders>
            <w:vAlign w:val="center"/>
          </w:tcPr>
          <w:p w14:paraId="64AA966A">
            <w:pPr>
              <w:widowControl/>
              <w:spacing w:line="360" w:lineRule="auto"/>
              <w:jc w:val="center"/>
              <w:textAlignment w:val="center"/>
              <w:rPr>
                <w:rFonts w:hint="eastAsia" w:ascii="仿宋" w:hAnsi="仿宋" w:eastAsia="仿宋" w:cs="仿宋"/>
                <w:sz w:val="21"/>
                <w:szCs w:val="21"/>
              </w:rPr>
            </w:pPr>
            <w:r>
              <w:rPr>
                <w:rFonts w:hint="eastAsia" w:ascii="仿宋" w:hAnsi="仿宋" w:eastAsia="仿宋" w:cs="仿宋"/>
                <w:sz w:val="21"/>
                <w:szCs w:val="21"/>
              </w:rPr>
              <w:t>长期使用权（</w:t>
            </w:r>
            <w:r>
              <w:rPr>
                <w:rFonts w:hint="eastAsia" w:ascii="仿宋" w:hAnsi="仿宋" w:eastAsia="仿宋" w:cs="仿宋"/>
                <w:sz w:val="21"/>
                <w:szCs w:val="21"/>
                <w:lang w:val="en-US" w:eastAsia="zh-CN"/>
              </w:rPr>
              <w:t>10年</w:t>
            </w:r>
            <w:r>
              <w:rPr>
                <w:rFonts w:hint="eastAsia" w:ascii="仿宋" w:hAnsi="仿宋" w:eastAsia="仿宋" w:cs="仿宋"/>
                <w:sz w:val="21"/>
                <w:szCs w:val="21"/>
              </w:rPr>
              <w:t>）</w:t>
            </w:r>
          </w:p>
        </w:tc>
        <w:tc>
          <w:tcPr>
            <w:tcW w:w="709" w:type="dxa"/>
            <w:vMerge w:val="continue"/>
            <w:tcBorders>
              <w:left w:val="single" w:color="000000" w:sz="4" w:space="0"/>
              <w:right w:val="single" w:color="000000" w:sz="4" w:space="0"/>
            </w:tcBorders>
          </w:tcPr>
          <w:p w14:paraId="7F5952EB">
            <w:pPr>
              <w:widowControl/>
              <w:spacing w:line="360" w:lineRule="auto"/>
              <w:jc w:val="center"/>
              <w:textAlignment w:val="center"/>
              <w:rPr>
                <w:rFonts w:hint="eastAsia" w:ascii="仿宋" w:hAnsi="仿宋" w:eastAsia="仿宋" w:cs="仿宋"/>
                <w:sz w:val="21"/>
                <w:szCs w:val="21"/>
              </w:rPr>
            </w:pPr>
          </w:p>
        </w:tc>
        <w:tc>
          <w:tcPr>
            <w:tcW w:w="1134" w:type="dxa"/>
            <w:vMerge w:val="continue"/>
            <w:tcBorders>
              <w:left w:val="single" w:color="000000" w:sz="4" w:space="0"/>
              <w:right w:val="single" w:color="000000" w:sz="4" w:space="0"/>
            </w:tcBorders>
            <w:shd w:val="clear" w:color="auto" w:fill="auto"/>
            <w:vAlign w:val="center"/>
          </w:tcPr>
          <w:p w14:paraId="20CF0F96">
            <w:pPr>
              <w:widowControl/>
              <w:spacing w:line="360" w:lineRule="auto"/>
              <w:jc w:val="center"/>
              <w:textAlignment w:val="center"/>
              <w:rPr>
                <w:rFonts w:hint="eastAsia" w:ascii="仿宋" w:hAnsi="仿宋" w:eastAsia="仿宋" w:cs="仿宋"/>
                <w:bCs/>
                <w:sz w:val="21"/>
                <w:szCs w:val="21"/>
              </w:rPr>
            </w:pPr>
          </w:p>
        </w:tc>
        <w:tc>
          <w:tcPr>
            <w:tcW w:w="1417" w:type="dxa"/>
            <w:vMerge w:val="continue"/>
            <w:tcBorders>
              <w:left w:val="single" w:color="000000" w:sz="4" w:space="0"/>
              <w:right w:val="single" w:color="000000" w:sz="4" w:space="0"/>
            </w:tcBorders>
            <w:shd w:val="clear" w:color="auto" w:fill="auto"/>
            <w:vAlign w:val="center"/>
          </w:tcPr>
          <w:p w14:paraId="4295BE0A">
            <w:pPr>
              <w:widowControl/>
              <w:spacing w:line="360" w:lineRule="auto"/>
              <w:jc w:val="center"/>
              <w:textAlignment w:val="center"/>
              <w:rPr>
                <w:rFonts w:hint="eastAsia" w:ascii="仿宋" w:hAnsi="仿宋" w:eastAsia="仿宋" w:cs="仿宋"/>
                <w:bCs/>
                <w:sz w:val="21"/>
                <w:szCs w:val="21"/>
              </w:rPr>
            </w:pPr>
          </w:p>
        </w:tc>
        <w:tc>
          <w:tcPr>
            <w:tcW w:w="714" w:type="dxa"/>
            <w:tcBorders>
              <w:left w:val="single" w:color="000000" w:sz="4" w:space="0"/>
              <w:right w:val="single" w:color="000000" w:sz="4" w:space="0"/>
            </w:tcBorders>
          </w:tcPr>
          <w:p w14:paraId="05A86997">
            <w:pPr>
              <w:widowControl/>
              <w:spacing w:line="360" w:lineRule="auto"/>
              <w:jc w:val="center"/>
              <w:textAlignment w:val="center"/>
              <w:rPr>
                <w:rFonts w:hint="eastAsia" w:ascii="仿宋" w:hAnsi="仿宋" w:eastAsia="仿宋" w:cs="仿宋"/>
                <w:bCs/>
                <w:sz w:val="21"/>
                <w:szCs w:val="21"/>
              </w:rPr>
            </w:pPr>
          </w:p>
        </w:tc>
      </w:tr>
      <w:tr w14:paraId="4776B0D7">
        <w:tblPrEx>
          <w:tblCellMar>
            <w:top w:w="0" w:type="dxa"/>
            <w:left w:w="108" w:type="dxa"/>
            <w:bottom w:w="0" w:type="dxa"/>
            <w:right w:w="108" w:type="dxa"/>
          </w:tblCellMar>
        </w:tblPrEx>
        <w:trPr>
          <w:trHeight w:val="2617"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8CF1D">
            <w:pPr>
              <w:widowControl/>
              <w:spacing w:line="360" w:lineRule="auto"/>
              <w:jc w:val="center"/>
              <w:textAlignment w:val="center"/>
              <w:rPr>
                <w:rFonts w:hint="eastAsia" w:ascii="仿宋" w:hAnsi="仿宋" w:eastAsia="仿宋" w:cs="仿宋"/>
                <w:color w:val="000000"/>
                <w:sz w:val="21"/>
                <w:szCs w:val="21"/>
              </w:rPr>
            </w:pPr>
            <w:r>
              <w:rPr>
                <w:rFonts w:hint="eastAsia" w:ascii="仿宋" w:hAnsi="仿宋" w:eastAsia="仿宋" w:cs="仿宋"/>
                <w:color w:val="000000"/>
                <w:sz w:val="21"/>
                <w:szCs w:val="21"/>
              </w:rPr>
              <w:t>8</w:t>
            </w:r>
          </w:p>
        </w:tc>
        <w:tc>
          <w:tcPr>
            <w:tcW w:w="1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1877B">
            <w:pPr>
              <w:widowControl/>
              <w:spacing w:line="360" w:lineRule="auto"/>
              <w:jc w:val="center"/>
              <w:textAlignment w:val="center"/>
              <w:rPr>
                <w:rFonts w:hint="eastAsia" w:ascii="仿宋" w:hAnsi="仿宋" w:eastAsia="仿宋" w:cs="仿宋"/>
                <w:sz w:val="21"/>
                <w:szCs w:val="21"/>
              </w:rPr>
            </w:pPr>
            <w:r>
              <w:rPr>
                <w:rFonts w:hint="eastAsia" w:ascii="仿宋" w:hAnsi="仿宋" w:eastAsia="仿宋" w:cs="仿宋"/>
                <w:sz w:val="21"/>
                <w:szCs w:val="21"/>
              </w:rPr>
              <w:t>一种基于 Criminisi的图像复原方法</w:t>
            </w:r>
          </w:p>
        </w:tc>
        <w:tc>
          <w:tcPr>
            <w:tcW w:w="4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AC0D8">
            <w:pPr>
              <w:widowControl/>
              <w:spacing w:line="360" w:lineRule="auto"/>
              <w:jc w:val="left"/>
              <w:textAlignment w:val="center"/>
              <w:rPr>
                <w:rFonts w:hint="eastAsia" w:ascii="仿宋" w:hAnsi="仿宋" w:eastAsia="仿宋" w:cs="仿宋"/>
                <w:sz w:val="21"/>
                <w:szCs w:val="21"/>
              </w:rPr>
            </w:pPr>
            <w:r>
              <w:rPr>
                <w:rFonts w:hint="eastAsia" w:ascii="仿宋" w:hAnsi="仿宋" w:eastAsia="仿宋" w:cs="仿宋"/>
                <w:sz w:val="21"/>
                <w:szCs w:val="21"/>
              </w:rPr>
              <w:t>本发明公开了一种基于Criminisi的图像复原方法,读取待修复图像并确认待修复区域,在待修复区域边缘选取一个优先权最高的点p，以p为中点构造当前需要修复的块,具有实用性强、复原效果明显的特点。</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B806B">
            <w:pPr>
              <w:widowControl/>
              <w:spacing w:line="360" w:lineRule="auto"/>
              <w:textAlignment w:val="center"/>
              <w:rPr>
                <w:rFonts w:hint="eastAsia" w:ascii="仿宋" w:hAnsi="仿宋" w:eastAsia="仿宋" w:cs="仿宋"/>
                <w:bCs/>
                <w:sz w:val="21"/>
                <w:szCs w:val="21"/>
              </w:rPr>
            </w:pPr>
            <w:r>
              <w:rPr>
                <w:rFonts w:hint="eastAsia" w:ascii="仿宋" w:hAnsi="仿宋" w:eastAsia="仿宋" w:cs="仿宋"/>
                <w:bCs/>
                <w:sz w:val="21"/>
                <w:szCs w:val="21"/>
              </w:rPr>
              <w:t>陈燕;王凤琴;李素萍</w:t>
            </w:r>
          </w:p>
        </w:tc>
        <w:tc>
          <w:tcPr>
            <w:tcW w:w="1276" w:type="dxa"/>
            <w:tcBorders>
              <w:top w:val="single" w:color="000000" w:sz="4" w:space="0"/>
              <w:left w:val="single" w:color="000000" w:sz="4" w:space="0"/>
              <w:bottom w:val="single" w:color="000000" w:sz="4" w:space="0"/>
              <w:right w:val="single" w:color="000000" w:sz="4" w:space="0"/>
            </w:tcBorders>
            <w:vAlign w:val="center"/>
          </w:tcPr>
          <w:p w14:paraId="57C78F51">
            <w:pPr>
              <w:widowControl/>
              <w:spacing w:line="360" w:lineRule="auto"/>
              <w:jc w:val="center"/>
              <w:textAlignment w:val="center"/>
              <w:rPr>
                <w:rFonts w:hint="eastAsia" w:ascii="仿宋" w:hAnsi="仿宋" w:eastAsia="仿宋" w:cs="仿宋"/>
                <w:sz w:val="21"/>
                <w:szCs w:val="21"/>
              </w:rPr>
            </w:pPr>
            <w:r>
              <w:rPr>
                <w:rFonts w:hint="eastAsia" w:ascii="仿宋" w:hAnsi="仿宋" w:eastAsia="仿宋" w:cs="仿宋"/>
                <w:sz w:val="21"/>
                <w:szCs w:val="21"/>
              </w:rPr>
              <w:t>长期使用权（</w:t>
            </w:r>
            <w:r>
              <w:rPr>
                <w:rFonts w:hint="eastAsia" w:ascii="仿宋" w:hAnsi="仿宋" w:eastAsia="仿宋" w:cs="仿宋"/>
                <w:sz w:val="21"/>
                <w:szCs w:val="21"/>
                <w:lang w:val="en-US" w:eastAsia="zh-CN"/>
              </w:rPr>
              <w:t>10年</w:t>
            </w:r>
            <w:r>
              <w:rPr>
                <w:rFonts w:hint="eastAsia" w:ascii="仿宋" w:hAnsi="仿宋" w:eastAsia="仿宋" w:cs="仿宋"/>
                <w:sz w:val="21"/>
                <w:szCs w:val="21"/>
              </w:rPr>
              <w:t>）</w:t>
            </w:r>
          </w:p>
        </w:tc>
        <w:tc>
          <w:tcPr>
            <w:tcW w:w="709" w:type="dxa"/>
            <w:vMerge w:val="continue"/>
            <w:tcBorders>
              <w:left w:val="single" w:color="000000" w:sz="4" w:space="0"/>
              <w:right w:val="single" w:color="000000" w:sz="4" w:space="0"/>
            </w:tcBorders>
          </w:tcPr>
          <w:p w14:paraId="02B79FA4">
            <w:pPr>
              <w:widowControl/>
              <w:spacing w:line="360" w:lineRule="auto"/>
              <w:jc w:val="center"/>
              <w:textAlignment w:val="center"/>
              <w:rPr>
                <w:rFonts w:hint="eastAsia" w:ascii="仿宋" w:hAnsi="仿宋" w:eastAsia="仿宋" w:cs="仿宋"/>
                <w:sz w:val="21"/>
                <w:szCs w:val="21"/>
              </w:rPr>
            </w:pPr>
          </w:p>
        </w:tc>
        <w:tc>
          <w:tcPr>
            <w:tcW w:w="1134" w:type="dxa"/>
            <w:vMerge w:val="continue"/>
            <w:tcBorders>
              <w:left w:val="single" w:color="000000" w:sz="4" w:space="0"/>
              <w:right w:val="single" w:color="000000" w:sz="4" w:space="0"/>
            </w:tcBorders>
            <w:shd w:val="clear" w:color="auto" w:fill="auto"/>
            <w:vAlign w:val="center"/>
          </w:tcPr>
          <w:p w14:paraId="557A2B48">
            <w:pPr>
              <w:widowControl/>
              <w:spacing w:line="360" w:lineRule="auto"/>
              <w:jc w:val="center"/>
              <w:textAlignment w:val="center"/>
              <w:rPr>
                <w:rFonts w:hint="eastAsia" w:ascii="仿宋" w:hAnsi="仿宋" w:eastAsia="仿宋" w:cs="仿宋"/>
                <w:bCs/>
                <w:sz w:val="21"/>
                <w:szCs w:val="21"/>
              </w:rPr>
            </w:pPr>
          </w:p>
        </w:tc>
        <w:tc>
          <w:tcPr>
            <w:tcW w:w="1417" w:type="dxa"/>
            <w:vMerge w:val="continue"/>
            <w:tcBorders>
              <w:left w:val="single" w:color="000000" w:sz="4" w:space="0"/>
              <w:right w:val="single" w:color="000000" w:sz="4" w:space="0"/>
            </w:tcBorders>
            <w:shd w:val="clear" w:color="auto" w:fill="auto"/>
            <w:vAlign w:val="center"/>
          </w:tcPr>
          <w:p w14:paraId="707F24EB">
            <w:pPr>
              <w:widowControl/>
              <w:spacing w:line="360" w:lineRule="auto"/>
              <w:jc w:val="center"/>
              <w:textAlignment w:val="center"/>
              <w:rPr>
                <w:rFonts w:hint="eastAsia" w:ascii="仿宋" w:hAnsi="仿宋" w:eastAsia="仿宋" w:cs="仿宋"/>
                <w:bCs/>
                <w:sz w:val="21"/>
                <w:szCs w:val="21"/>
              </w:rPr>
            </w:pPr>
          </w:p>
        </w:tc>
        <w:tc>
          <w:tcPr>
            <w:tcW w:w="714" w:type="dxa"/>
            <w:tcBorders>
              <w:left w:val="single" w:color="000000" w:sz="4" w:space="0"/>
              <w:right w:val="single" w:color="000000" w:sz="4" w:space="0"/>
            </w:tcBorders>
          </w:tcPr>
          <w:p w14:paraId="00B3CE27">
            <w:pPr>
              <w:widowControl/>
              <w:spacing w:line="360" w:lineRule="auto"/>
              <w:jc w:val="center"/>
              <w:textAlignment w:val="center"/>
              <w:rPr>
                <w:rFonts w:hint="eastAsia" w:ascii="仿宋" w:hAnsi="仿宋" w:eastAsia="仿宋" w:cs="仿宋"/>
                <w:bCs/>
                <w:sz w:val="21"/>
                <w:szCs w:val="21"/>
              </w:rPr>
            </w:pPr>
          </w:p>
        </w:tc>
      </w:tr>
      <w:tr w14:paraId="793C35EB">
        <w:tblPrEx>
          <w:tblCellMar>
            <w:top w:w="0" w:type="dxa"/>
            <w:left w:w="108" w:type="dxa"/>
            <w:bottom w:w="0" w:type="dxa"/>
            <w:right w:w="108" w:type="dxa"/>
          </w:tblCellMar>
        </w:tblPrEx>
        <w:trPr>
          <w:trHeight w:val="3653"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BE0DC">
            <w:pPr>
              <w:widowControl/>
              <w:spacing w:line="360" w:lineRule="auto"/>
              <w:jc w:val="center"/>
              <w:textAlignment w:val="center"/>
              <w:rPr>
                <w:rFonts w:hint="eastAsia" w:ascii="仿宋" w:hAnsi="仿宋" w:eastAsia="仿宋" w:cs="仿宋"/>
                <w:color w:val="000000"/>
                <w:sz w:val="21"/>
                <w:szCs w:val="21"/>
              </w:rPr>
            </w:pPr>
            <w:r>
              <w:rPr>
                <w:rFonts w:hint="eastAsia" w:ascii="仿宋" w:hAnsi="仿宋" w:eastAsia="仿宋" w:cs="仿宋"/>
                <w:color w:val="000000"/>
                <w:sz w:val="21"/>
                <w:szCs w:val="21"/>
              </w:rPr>
              <w:t>9</w:t>
            </w:r>
          </w:p>
        </w:tc>
        <w:tc>
          <w:tcPr>
            <w:tcW w:w="1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69352">
            <w:pPr>
              <w:widowControl/>
              <w:spacing w:line="360" w:lineRule="auto"/>
              <w:jc w:val="center"/>
              <w:textAlignment w:val="center"/>
              <w:rPr>
                <w:rFonts w:hint="eastAsia" w:ascii="仿宋" w:hAnsi="仿宋" w:eastAsia="仿宋" w:cs="仿宋"/>
                <w:sz w:val="21"/>
                <w:szCs w:val="21"/>
              </w:rPr>
            </w:pPr>
            <w:r>
              <w:rPr>
                <w:rFonts w:hint="eastAsia" w:ascii="仿宋" w:hAnsi="仿宋" w:eastAsia="仿宋" w:cs="仿宋"/>
                <w:sz w:val="21"/>
                <w:szCs w:val="21"/>
              </w:rPr>
              <w:t>一种Hadamard矩阵引导的多模态哈希检索方法</w:t>
            </w:r>
          </w:p>
        </w:tc>
        <w:tc>
          <w:tcPr>
            <w:tcW w:w="4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6D1FC">
            <w:pPr>
              <w:widowControl/>
              <w:spacing w:line="360" w:lineRule="auto"/>
              <w:jc w:val="left"/>
              <w:textAlignment w:val="center"/>
              <w:rPr>
                <w:rFonts w:hint="eastAsia" w:ascii="仿宋" w:hAnsi="仿宋" w:eastAsia="仿宋" w:cs="仿宋"/>
                <w:sz w:val="21"/>
                <w:szCs w:val="21"/>
              </w:rPr>
            </w:pPr>
            <w:r>
              <w:rPr>
                <w:rFonts w:hint="eastAsia" w:ascii="仿宋" w:hAnsi="仿宋" w:eastAsia="仿宋" w:cs="仿宋"/>
                <w:sz w:val="21"/>
                <w:szCs w:val="21"/>
              </w:rPr>
              <w:t>本发明公开了一种Hadamard矩阵引导的多模态哈希检索方法，所提出的方法自适应地捕获多模态数据之间的互补信息，通过集成的矩阵分解方法重构多模态空间，以增强特征表示能力。同时利用Hadamard矩阵的列属性来生成每个类别的目标代码，对目标二进制矩阵采用软二进制约束来提高模型的判别性。</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7466A">
            <w:pPr>
              <w:widowControl/>
              <w:spacing w:line="360" w:lineRule="auto"/>
              <w:textAlignment w:val="center"/>
              <w:rPr>
                <w:rFonts w:hint="eastAsia" w:ascii="仿宋" w:hAnsi="仿宋" w:eastAsia="仿宋" w:cs="仿宋"/>
                <w:bCs/>
                <w:sz w:val="21"/>
                <w:szCs w:val="21"/>
              </w:rPr>
            </w:pPr>
            <w:r>
              <w:rPr>
                <w:rFonts w:hint="eastAsia" w:ascii="仿宋" w:hAnsi="仿宋" w:eastAsia="仿宋" w:cs="仿宋"/>
                <w:bCs/>
                <w:sz w:val="21"/>
                <w:szCs w:val="21"/>
              </w:rPr>
              <w:t>庾骏;黄伟;郝林娜:李祖贺;朱亮</w:t>
            </w:r>
          </w:p>
        </w:tc>
        <w:tc>
          <w:tcPr>
            <w:tcW w:w="1276" w:type="dxa"/>
            <w:tcBorders>
              <w:top w:val="single" w:color="000000" w:sz="4" w:space="0"/>
              <w:left w:val="single" w:color="000000" w:sz="4" w:space="0"/>
              <w:bottom w:val="single" w:color="000000" w:sz="4" w:space="0"/>
              <w:right w:val="single" w:color="000000" w:sz="4" w:space="0"/>
            </w:tcBorders>
            <w:vAlign w:val="center"/>
          </w:tcPr>
          <w:p w14:paraId="3496F139">
            <w:pPr>
              <w:widowControl/>
              <w:spacing w:line="360" w:lineRule="auto"/>
              <w:jc w:val="center"/>
              <w:textAlignment w:val="center"/>
              <w:rPr>
                <w:rFonts w:hint="eastAsia" w:ascii="仿宋" w:hAnsi="仿宋" w:eastAsia="仿宋" w:cs="仿宋"/>
                <w:sz w:val="21"/>
                <w:szCs w:val="21"/>
              </w:rPr>
            </w:pPr>
            <w:r>
              <w:rPr>
                <w:rFonts w:hint="eastAsia" w:ascii="仿宋" w:hAnsi="仿宋" w:eastAsia="仿宋" w:cs="仿宋"/>
                <w:sz w:val="21"/>
                <w:szCs w:val="21"/>
              </w:rPr>
              <w:t>长期使用权（</w:t>
            </w:r>
            <w:r>
              <w:rPr>
                <w:rFonts w:hint="eastAsia" w:ascii="仿宋" w:hAnsi="仿宋" w:eastAsia="仿宋" w:cs="仿宋"/>
                <w:sz w:val="21"/>
                <w:szCs w:val="21"/>
                <w:lang w:val="en-US" w:eastAsia="zh-CN"/>
              </w:rPr>
              <w:t>10年</w:t>
            </w:r>
            <w:r>
              <w:rPr>
                <w:rFonts w:hint="eastAsia" w:ascii="仿宋" w:hAnsi="仿宋" w:eastAsia="仿宋" w:cs="仿宋"/>
                <w:sz w:val="21"/>
                <w:szCs w:val="21"/>
              </w:rPr>
              <w:t>）</w:t>
            </w:r>
          </w:p>
        </w:tc>
        <w:tc>
          <w:tcPr>
            <w:tcW w:w="709" w:type="dxa"/>
            <w:vMerge w:val="continue"/>
            <w:tcBorders>
              <w:left w:val="single" w:color="000000" w:sz="4" w:space="0"/>
              <w:right w:val="single" w:color="000000" w:sz="4" w:space="0"/>
            </w:tcBorders>
          </w:tcPr>
          <w:p w14:paraId="1DC6DDD7">
            <w:pPr>
              <w:widowControl/>
              <w:spacing w:line="360" w:lineRule="auto"/>
              <w:jc w:val="center"/>
              <w:textAlignment w:val="center"/>
              <w:rPr>
                <w:rFonts w:hint="eastAsia" w:ascii="仿宋" w:hAnsi="仿宋" w:eastAsia="仿宋" w:cs="仿宋"/>
                <w:sz w:val="21"/>
                <w:szCs w:val="21"/>
              </w:rPr>
            </w:pPr>
          </w:p>
        </w:tc>
        <w:tc>
          <w:tcPr>
            <w:tcW w:w="1134" w:type="dxa"/>
            <w:vMerge w:val="continue"/>
            <w:tcBorders>
              <w:left w:val="single" w:color="000000" w:sz="4" w:space="0"/>
              <w:right w:val="single" w:color="000000" w:sz="4" w:space="0"/>
            </w:tcBorders>
            <w:shd w:val="clear" w:color="auto" w:fill="auto"/>
            <w:vAlign w:val="center"/>
          </w:tcPr>
          <w:p w14:paraId="0A44B847">
            <w:pPr>
              <w:widowControl/>
              <w:spacing w:line="360" w:lineRule="auto"/>
              <w:jc w:val="center"/>
              <w:textAlignment w:val="center"/>
              <w:rPr>
                <w:rFonts w:hint="eastAsia" w:ascii="仿宋" w:hAnsi="仿宋" w:eastAsia="仿宋" w:cs="仿宋"/>
                <w:bCs/>
                <w:sz w:val="21"/>
                <w:szCs w:val="21"/>
              </w:rPr>
            </w:pPr>
          </w:p>
        </w:tc>
        <w:tc>
          <w:tcPr>
            <w:tcW w:w="1417" w:type="dxa"/>
            <w:vMerge w:val="continue"/>
            <w:tcBorders>
              <w:left w:val="single" w:color="000000" w:sz="4" w:space="0"/>
              <w:right w:val="single" w:color="000000" w:sz="4" w:space="0"/>
            </w:tcBorders>
            <w:shd w:val="clear" w:color="auto" w:fill="auto"/>
            <w:vAlign w:val="center"/>
          </w:tcPr>
          <w:p w14:paraId="28A1F0FD">
            <w:pPr>
              <w:widowControl/>
              <w:spacing w:line="360" w:lineRule="auto"/>
              <w:jc w:val="center"/>
              <w:textAlignment w:val="center"/>
              <w:rPr>
                <w:rFonts w:hint="eastAsia" w:ascii="仿宋" w:hAnsi="仿宋" w:eastAsia="仿宋" w:cs="仿宋"/>
                <w:bCs/>
                <w:sz w:val="21"/>
                <w:szCs w:val="21"/>
              </w:rPr>
            </w:pPr>
          </w:p>
        </w:tc>
        <w:tc>
          <w:tcPr>
            <w:tcW w:w="714" w:type="dxa"/>
            <w:tcBorders>
              <w:left w:val="single" w:color="000000" w:sz="4" w:space="0"/>
              <w:right w:val="single" w:color="000000" w:sz="4" w:space="0"/>
            </w:tcBorders>
          </w:tcPr>
          <w:p w14:paraId="500CE407">
            <w:pPr>
              <w:widowControl/>
              <w:spacing w:line="360" w:lineRule="auto"/>
              <w:jc w:val="center"/>
              <w:textAlignment w:val="center"/>
              <w:rPr>
                <w:rFonts w:hint="eastAsia" w:ascii="仿宋" w:hAnsi="仿宋" w:eastAsia="仿宋" w:cs="仿宋"/>
                <w:bCs/>
                <w:sz w:val="21"/>
                <w:szCs w:val="21"/>
              </w:rPr>
            </w:pPr>
          </w:p>
        </w:tc>
      </w:tr>
      <w:tr w14:paraId="23531DC3">
        <w:tblPrEx>
          <w:tblCellMar>
            <w:top w:w="0" w:type="dxa"/>
            <w:left w:w="108" w:type="dxa"/>
            <w:bottom w:w="0" w:type="dxa"/>
            <w:right w:w="108" w:type="dxa"/>
          </w:tblCellMar>
        </w:tblPrEx>
        <w:trPr>
          <w:trHeight w:val="3002"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22223">
            <w:pPr>
              <w:widowControl/>
              <w:spacing w:line="360" w:lineRule="auto"/>
              <w:jc w:val="center"/>
              <w:textAlignment w:val="center"/>
              <w:rPr>
                <w:rFonts w:hint="eastAsia" w:ascii="仿宋" w:hAnsi="仿宋" w:eastAsia="仿宋" w:cs="仿宋"/>
                <w:color w:val="000000"/>
                <w:sz w:val="21"/>
                <w:szCs w:val="21"/>
              </w:rPr>
            </w:pPr>
            <w:r>
              <w:rPr>
                <w:rFonts w:hint="eastAsia" w:ascii="仿宋" w:hAnsi="仿宋" w:eastAsia="仿宋" w:cs="仿宋"/>
                <w:color w:val="000000"/>
                <w:sz w:val="21"/>
                <w:szCs w:val="21"/>
              </w:rPr>
              <w:t>10</w:t>
            </w:r>
          </w:p>
        </w:tc>
        <w:tc>
          <w:tcPr>
            <w:tcW w:w="1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A647D">
            <w:pPr>
              <w:widowControl/>
              <w:spacing w:line="360" w:lineRule="auto"/>
              <w:jc w:val="center"/>
              <w:textAlignment w:val="center"/>
              <w:rPr>
                <w:rFonts w:hint="eastAsia" w:ascii="仿宋" w:hAnsi="仿宋" w:eastAsia="仿宋" w:cs="仿宋"/>
                <w:sz w:val="21"/>
                <w:szCs w:val="21"/>
              </w:rPr>
            </w:pPr>
            <w:r>
              <w:rPr>
                <w:rFonts w:hint="eastAsia" w:ascii="仿宋" w:hAnsi="仿宋" w:eastAsia="仿宋" w:cs="仿宋"/>
                <w:sz w:val="21"/>
                <w:szCs w:val="21"/>
              </w:rPr>
              <w:t>一种基于特征融合哈希算法的多模态检索方法</w:t>
            </w:r>
          </w:p>
        </w:tc>
        <w:tc>
          <w:tcPr>
            <w:tcW w:w="4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FAA6D">
            <w:pPr>
              <w:widowControl/>
              <w:spacing w:line="360" w:lineRule="auto"/>
              <w:jc w:val="left"/>
              <w:textAlignment w:val="center"/>
              <w:rPr>
                <w:rFonts w:hint="eastAsia" w:ascii="仿宋" w:hAnsi="仿宋" w:eastAsia="仿宋" w:cs="仿宋"/>
                <w:sz w:val="21"/>
                <w:szCs w:val="21"/>
              </w:rPr>
            </w:pPr>
            <w:r>
              <w:rPr>
                <w:rFonts w:hint="eastAsia" w:ascii="仿宋" w:hAnsi="仿宋" w:eastAsia="仿宋" w:cs="仿宋"/>
                <w:sz w:val="21"/>
                <w:szCs w:val="21"/>
              </w:rPr>
              <w:t>本发明公开了一种基于特征融合哈希算法的多模态检索方法，能够挖掘多模态数据信息之间共享的语义信息和特定模态内结构信息，以学习判别性的哈希码；在无因松弛而产生较大的量化误差的情况下，有效地解决了离散优化问题。</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234DC">
            <w:pPr>
              <w:widowControl/>
              <w:spacing w:line="360" w:lineRule="auto"/>
              <w:textAlignment w:val="center"/>
              <w:rPr>
                <w:rFonts w:hint="eastAsia" w:ascii="仿宋" w:hAnsi="仿宋" w:eastAsia="仿宋" w:cs="仿宋"/>
                <w:bCs/>
                <w:sz w:val="21"/>
                <w:szCs w:val="21"/>
              </w:rPr>
            </w:pPr>
            <w:r>
              <w:rPr>
                <w:rFonts w:hint="eastAsia" w:ascii="仿宋" w:hAnsi="仿宋" w:eastAsia="仿宋" w:cs="仿宋"/>
                <w:bCs/>
                <w:sz w:val="21"/>
                <w:szCs w:val="21"/>
              </w:rPr>
              <w:t>庾骏;黄伟;殷君茹;李祖贺;朱亮</w:t>
            </w:r>
          </w:p>
        </w:tc>
        <w:tc>
          <w:tcPr>
            <w:tcW w:w="1276" w:type="dxa"/>
            <w:tcBorders>
              <w:top w:val="single" w:color="000000" w:sz="4" w:space="0"/>
              <w:left w:val="single" w:color="000000" w:sz="4" w:space="0"/>
              <w:bottom w:val="single" w:color="000000" w:sz="4" w:space="0"/>
              <w:right w:val="single" w:color="000000" w:sz="4" w:space="0"/>
            </w:tcBorders>
            <w:vAlign w:val="center"/>
          </w:tcPr>
          <w:p w14:paraId="6D812E07">
            <w:pPr>
              <w:widowControl/>
              <w:spacing w:line="360" w:lineRule="auto"/>
              <w:jc w:val="center"/>
              <w:textAlignment w:val="center"/>
              <w:rPr>
                <w:rFonts w:hint="eastAsia" w:ascii="仿宋" w:hAnsi="仿宋" w:eastAsia="仿宋" w:cs="仿宋"/>
                <w:sz w:val="21"/>
                <w:szCs w:val="21"/>
              </w:rPr>
            </w:pPr>
            <w:r>
              <w:rPr>
                <w:rFonts w:hint="eastAsia" w:ascii="仿宋" w:hAnsi="仿宋" w:eastAsia="仿宋" w:cs="仿宋"/>
                <w:sz w:val="21"/>
                <w:szCs w:val="21"/>
              </w:rPr>
              <w:t>长期使用权（</w:t>
            </w:r>
            <w:r>
              <w:rPr>
                <w:rFonts w:hint="eastAsia" w:ascii="仿宋" w:hAnsi="仿宋" w:eastAsia="仿宋" w:cs="仿宋"/>
                <w:sz w:val="21"/>
                <w:szCs w:val="21"/>
                <w:lang w:val="en-US" w:eastAsia="zh-CN"/>
              </w:rPr>
              <w:t>10年</w:t>
            </w:r>
            <w:r>
              <w:rPr>
                <w:rFonts w:hint="eastAsia" w:ascii="仿宋" w:hAnsi="仿宋" w:eastAsia="仿宋" w:cs="仿宋"/>
                <w:sz w:val="21"/>
                <w:szCs w:val="21"/>
              </w:rPr>
              <w:t>）</w:t>
            </w:r>
          </w:p>
        </w:tc>
        <w:tc>
          <w:tcPr>
            <w:tcW w:w="709" w:type="dxa"/>
            <w:vMerge w:val="continue"/>
            <w:tcBorders>
              <w:left w:val="single" w:color="000000" w:sz="4" w:space="0"/>
              <w:right w:val="single" w:color="000000" w:sz="4" w:space="0"/>
            </w:tcBorders>
          </w:tcPr>
          <w:p w14:paraId="66FBA065">
            <w:pPr>
              <w:widowControl/>
              <w:spacing w:line="360" w:lineRule="auto"/>
              <w:jc w:val="center"/>
              <w:textAlignment w:val="center"/>
              <w:rPr>
                <w:rFonts w:hint="eastAsia" w:ascii="仿宋" w:hAnsi="仿宋" w:eastAsia="仿宋" w:cs="仿宋"/>
                <w:sz w:val="21"/>
                <w:szCs w:val="21"/>
              </w:rPr>
            </w:pPr>
          </w:p>
        </w:tc>
        <w:tc>
          <w:tcPr>
            <w:tcW w:w="1134" w:type="dxa"/>
            <w:vMerge w:val="continue"/>
            <w:tcBorders>
              <w:left w:val="single" w:color="000000" w:sz="4" w:space="0"/>
              <w:right w:val="single" w:color="000000" w:sz="4" w:space="0"/>
            </w:tcBorders>
            <w:shd w:val="clear" w:color="auto" w:fill="auto"/>
            <w:vAlign w:val="center"/>
          </w:tcPr>
          <w:p w14:paraId="49807C62">
            <w:pPr>
              <w:widowControl/>
              <w:spacing w:line="360" w:lineRule="auto"/>
              <w:jc w:val="center"/>
              <w:textAlignment w:val="center"/>
              <w:rPr>
                <w:rFonts w:hint="eastAsia" w:ascii="仿宋" w:hAnsi="仿宋" w:eastAsia="仿宋" w:cs="仿宋"/>
                <w:bCs/>
                <w:sz w:val="21"/>
                <w:szCs w:val="21"/>
              </w:rPr>
            </w:pPr>
          </w:p>
        </w:tc>
        <w:tc>
          <w:tcPr>
            <w:tcW w:w="1417" w:type="dxa"/>
            <w:vMerge w:val="continue"/>
            <w:tcBorders>
              <w:left w:val="single" w:color="000000" w:sz="4" w:space="0"/>
              <w:right w:val="single" w:color="000000" w:sz="4" w:space="0"/>
            </w:tcBorders>
            <w:shd w:val="clear" w:color="auto" w:fill="auto"/>
            <w:vAlign w:val="center"/>
          </w:tcPr>
          <w:p w14:paraId="0251446A">
            <w:pPr>
              <w:widowControl/>
              <w:spacing w:line="360" w:lineRule="auto"/>
              <w:jc w:val="center"/>
              <w:textAlignment w:val="center"/>
              <w:rPr>
                <w:rFonts w:hint="eastAsia" w:ascii="仿宋" w:hAnsi="仿宋" w:eastAsia="仿宋" w:cs="仿宋"/>
                <w:bCs/>
                <w:sz w:val="21"/>
                <w:szCs w:val="21"/>
              </w:rPr>
            </w:pPr>
          </w:p>
        </w:tc>
        <w:tc>
          <w:tcPr>
            <w:tcW w:w="714" w:type="dxa"/>
            <w:tcBorders>
              <w:left w:val="single" w:color="000000" w:sz="4" w:space="0"/>
              <w:right w:val="single" w:color="000000" w:sz="4" w:space="0"/>
            </w:tcBorders>
          </w:tcPr>
          <w:p w14:paraId="7B812E38">
            <w:pPr>
              <w:widowControl/>
              <w:spacing w:line="360" w:lineRule="auto"/>
              <w:jc w:val="center"/>
              <w:textAlignment w:val="center"/>
              <w:rPr>
                <w:rFonts w:hint="eastAsia" w:ascii="仿宋" w:hAnsi="仿宋" w:eastAsia="仿宋" w:cs="仿宋"/>
                <w:bCs/>
                <w:sz w:val="21"/>
                <w:szCs w:val="21"/>
              </w:rPr>
            </w:pPr>
          </w:p>
        </w:tc>
      </w:tr>
      <w:tr w14:paraId="73D2E531">
        <w:tblPrEx>
          <w:tblCellMar>
            <w:top w:w="0" w:type="dxa"/>
            <w:left w:w="108" w:type="dxa"/>
            <w:bottom w:w="0" w:type="dxa"/>
            <w:right w:w="108" w:type="dxa"/>
          </w:tblCellMar>
        </w:tblPrEx>
        <w:trPr>
          <w:trHeight w:val="3129"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B4034">
            <w:pPr>
              <w:widowControl/>
              <w:spacing w:line="360" w:lineRule="auto"/>
              <w:jc w:val="center"/>
              <w:textAlignment w:val="center"/>
              <w:rPr>
                <w:rFonts w:hint="default"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11</w:t>
            </w:r>
          </w:p>
        </w:tc>
        <w:tc>
          <w:tcPr>
            <w:tcW w:w="1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3A189">
            <w:pPr>
              <w:snapToGrid w:val="0"/>
              <w:spacing w:line="36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color w:val="333333"/>
                <w:kern w:val="0"/>
                <w:sz w:val="21"/>
                <w:szCs w:val="21"/>
                <w:shd w:val="clear" w:color="auto" w:fill="FFFFFF"/>
                <w:lang w:bidi="ar"/>
              </w:rPr>
              <w:t>基于乙二醇的可饱和吸收体与制备方法及其应用</w:t>
            </w:r>
          </w:p>
        </w:tc>
        <w:tc>
          <w:tcPr>
            <w:tcW w:w="4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89B6C">
            <w:pPr>
              <w:spacing w:before="78" w:line="360" w:lineRule="auto"/>
              <w:jc w:val="left"/>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color w:val="333333"/>
                <w:kern w:val="0"/>
                <w:sz w:val="21"/>
                <w:szCs w:val="21"/>
                <w:shd w:val="clear" w:color="auto" w:fill="FFFFFF"/>
                <w:lang w:bidi="ar"/>
              </w:rPr>
              <w:t>本发明提出了一种基于乙二醇的可饱和吸收体与制备方法及其应用，所述的基于乙二醇的可饱和吸收体工作带宽宽、抗损伤阈值高、成本低廉、稳定性高、制备过程简单易操作，并且易于集成进各种光纤系统中，可实现批量化生产，用于多种类型脉冲激光器的被动锁模、调Q。</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1414B">
            <w:pPr>
              <w:snapToGrid w:val="0"/>
              <w:spacing w:line="360" w:lineRule="auto"/>
              <w:jc w:val="left"/>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张文艳;刘楠楠;耿利杰;郝蕴琦;李森;杨鹏;张志峰;杨坤</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A8E2E">
            <w:pPr>
              <w:snapToGrid w:val="0"/>
              <w:spacing w:line="36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长期使用权（10年）</w:t>
            </w:r>
          </w:p>
        </w:tc>
        <w:tc>
          <w:tcPr>
            <w:tcW w:w="709" w:type="dxa"/>
            <w:tcBorders>
              <w:left w:val="single" w:color="000000" w:sz="4" w:space="0"/>
              <w:right w:val="single" w:color="000000" w:sz="4" w:space="0"/>
            </w:tcBorders>
            <w:shd w:val="clear" w:color="auto" w:fill="auto"/>
            <w:vAlign w:val="center"/>
          </w:tcPr>
          <w:p w14:paraId="52FEDA2F">
            <w:pPr>
              <w:spacing w:line="360" w:lineRule="auto"/>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rPr>
              <w:t>专利权许可实施</w:t>
            </w:r>
          </w:p>
        </w:tc>
        <w:tc>
          <w:tcPr>
            <w:tcW w:w="1134" w:type="dxa"/>
            <w:tcBorders>
              <w:left w:val="single" w:color="000000" w:sz="4" w:space="0"/>
              <w:right w:val="single" w:color="000000" w:sz="4" w:space="0"/>
            </w:tcBorders>
            <w:shd w:val="clear" w:color="auto" w:fill="auto"/>
            <w:vAlign w:val="center"/>
          </w:tcPr>
          <w:p w14:paraId="2E566741">
            <w:pPr>
              <w:spacing w:line="360" w:lineRule="auto"/>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rPr>
              <w:t>3.3</w:t>
            </w:r>
          </w:p>
        </w:tc>
        <w:tc>
          <w:tcPr>
            <w:tcW w:w="1417" w:type="dxa"/>
            <w:tcBorders>
              <w:left w:val="single" w:color="000000" w:sz="4" w:space="0"/>
              <w:right w:val="single" w:color="000000" w:sz="4" w:space="0"/>
            </w:tcBorders>
            <w:shd w:val="clear" w:color="auto" w:fill="auto"/>
            <w:vAlign w:val="center"/>
          </w:tcPr>
          <w:p w14:paraId="39FAEB57">
            <w:pPr>
              <w:spacing w:line="360" w:lineRule="auto"/>
              <w:jc w:val="center"/>
              <w:rPr>
                <w:rFonts w:hint="eastAsia" w:ascii="仿宋" w:hAnsi="仿宋" w:eastAsia="仿宋" w:cs="仿宋"/>
                <w:snapToGrid w:val="0"/>
                <w:color w:val="000000"/>
                <w:spacing w:val="-3"/>
                <w:kern w:val="0"/>
                <w:sz w:val="21"/>
                <w:szCs w:val="21"/>
                <w:lang w:val="en-US" w:eastAsia="zh-CN" w:bidi="ar-SA"/>
              </w:rPr>
            </w:pPr>
            <w:r>
              <w:rPr>
                <w:rFonts w:hint="eastAsia" w:ascii="仿宋" w:hAnsi="仿宋" w:eastAsia="仿宋" w:cs="仿宋"/>
                <w:color w:val="333333"/>
                <w:kern w:val="0"/>
                <w:sz w:val="21"/>
                <w:szCs w:val="21"/>
                <w:shd w:val="clear" w:color="auto" w:fill="FFFFFF"/>
                <w:lang w:bidi="ar"/>
              </w:rPr>
              <w:t>郑州途兔科技有限公司</w:t>
            </w:r>
          </w:p>
        </w:tc>
        <w:tc>
          <w:tcPr>
            <w:tcW w:w="714" w:type="dxa"/>
            <w:tcBorders>
              <w:left w:val="single" w:color="000000" w:sz="4" w:space="0"/>
              <w:right w:val="single" w:color="000000" w:sz="4" w:space="0"/>
            </w:tcBorders>
          </w:tcPr>
          <w:p w14:paraId="374025C8">
            <w:pPr>
              <w:widowControl/>
              <w:spacing w:line="360" w:lineRule="auto"/>
              <w:jc w:val="center"/>
              <w:textAlignment w:val="center"/>
              <w:rPr>
                <w:rFonts w:hint="eastAsia" w:ascii="仿宋" w:hAnsi="仿宋" w:eastAsia="仿宋" w:cs="仿宋"/>
                <w:bCs/>
                <w:sz w:val="21"/>
                <w:szCs w:val="21"/>
              </w:rPr>
            </w:pPr>
          </w:p>
        </w:tc>
      </w:tr>
      <w:tr w14:paraId="10E12220">
        <w:tblPrEx>
          <w:tblCellMar>
            <w:top w:w="0" w:type="dxa"/>
            <w:left w:w="108" w:type="dxa"/>
            <w:bottom w:w="0" w:type="dxa"/>
            <w:right w:w="108" w:type="dxa"/>
          </w:tblCellMar>
        </w:tblPrEx>
        <w:trPr>
          <w:trHeight w:val="2210"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31DB6">
            <w:pPr>
              <w:widowControl/>
              <w:spacing w:line="360" w:lineRule="auto"/>
              <w:jc w:val="center"/>
              <w:textAlignment w:val="center"/>
              <w:rPr>
                <w:rFonts w:hint="default"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12</w:t>
            </w:r>
          </w:p>
        </w:tc>
        <w:tc>
          <w:tcPr>
            <w:tcW w:w="1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FC5CB">
            <w:pPr>
              <w:snapToGrid w:val="0"/>
              <w:spacing w:line="36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一种饲料用鸭油脂肪酸甘油酯的制备方法</w:t>
            </w:r>
          </w:p>
        </w:tc>
        <w:tc>
          <w:tcPr>
            <w:tcW w:w="4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E2659">
            <w:pPr>
              <w:spacing w:before="78" w:line="360" w:lineRule="auto"/>
              <w:jc w:val="left"/>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本发明涉及一种饲料用鸭油脂肪酸甘油酯的制备方法，针对油脂与甘油混溶性差的特点，采用相转移剂增加油脂与甘油的混溶性，促进反应进行，合理设置脂肪酸甘油酯合成工艺</w:t>
            </w:r>
            <w:r>
              <w:rPr>
                <w:rFonts w:hint="eastAsia" w:ascii="仿宋" w:hAnsi="仿宋" w:eastAsia="仿宋" w:cs="仿宋"/>
                <w:snapToGrid w:val="0"/>
                <w:color w:val="000000"/>
                <w:spacing w:val="-4"/>
                <w:kern w:val="0"/>
                <w:sz w:val="21"/>
                <w:szCs w:val="21"/>
                <w:lang w:val="en-US" w:eastAsia="zh-CN"/>
              </w:rPr>
              <w:t>参数</w:t>
            </w:r>
            <w:r>
              <w:rPr>
                <w:rFonts w:hint="eastAsia" w:ascii="仿宋" w:hAnsi="仿宋" w:eastAsia="仿宋" w:cs="仿宋"/>
                <w:snapToGrid w:val="0"/>
                <w:color w:val="000000"/>
                <w:spacing w:val="-4"/>
                <w:kern w:val="0"/>
                <w:sz w:val="21"/>
                <w:szCs w:val="21"/>
              </w:rPr>
              <w:t>，提高了鸭油甘油解的效率。</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81C7A">
            <w:pPr>
              <w:snapToGrid w:val="0"/>
              <w:spacing w:line="360" w:lineRule="auto"/>
              <w:jc w:val="left"/>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李红</w:t>
            </w:r>
            <w:r>
              <w:rPr>
                <w:rFonts w:hint="eastAsia" w:ascii="仿宋" w:hAnsi="仿宋" w:eastAsia="仿宋" w:cs="仿宋"/>
                <w:snapToGrid w:val="0"/>
                <w:color w:val="000000"/>
                <w:spacing w:val="-4"/>
                <w:kern w:val="0"/>
                <w:sz w:val="21"/>
                <w:szCs w:val="21"/>
                <w:lang w:eastAsia="zh-CN"/>
              </w:rPr>
              <w:t>；</w:t>
            </w:r>
            <w:r>
              <w:rPr>
                <w:rFonts w:hint="eastAsia" w:ascii="仿宋" w:hAnsi="仿宋" w:eastAsia="仿宋" w:cs="仿宋"/>
                <w:snapToGrid w:val="0"/>
                <w:color w:val="000000"/>
                <w:spacing w:val="-4"/>
                <w:kern w:val="0"/>
                <w:sz w:val="21"/>
                <w:szCs w:val="21"/>
              </w:rPr>
              <w:t>孙东弦</w:t>
            </w:r>
            <w:r>
              <w:rPr>
                <w:rFonts w:hint="eastAsia" w:ascii="仿宋" w:hAnsi="仿宋" w:eastAsia="仿宋" w:cs="仿宋"/>
                <w:snapToGrid w:val="0"/>
                <w:color w:val="000000"/>
                <w:spacing w:val="-4"/>
                <w:kern w:val="0"/>
                <w:sz w:val="21"/>
                <w:szCs w:val="21"/>
                <w:lang w:eastAsia="zh-CN"/>
              </w:rPr>
              <w:t>；</w:t>
            </w:r>
            <w:r>
              <w:rPr>
                <w:rFonts w:hint="eastAsia" w:ascii="仿宋" w:hAnsi="仿宋" w:eastAsia="仿宋" w:cs="仿宋"/>
                <w:snapToGrid w:val="0"/>
                <w:color w:val="000000"/>
                <w:spacing w:val="-4"/>
                <w:kern w:val="0"/>
                <w:sz w:val="21"/>
                <w:szCs w:val="21"/>
              </w:rPr>
              <w:t>朱莹莹</w:t>
            </w:r>
            <w:r>
              <w:rPr>
                <w:rFonts w:hint="eastAsia" w:ascii="仿宋" w:hAnsi="仿宋" w:eastAsia="仿宋" w:cs="仿宋"/>
                <w:snapToGrid w:val="0"/>
                <w:color w:val="000000"/>
                <w:spacing w:val="-4"/>
                <w:kern w:val="0"/>
                <w:sz w:val="21"/>
                <w:szCs w:val="21"/>
                <w:lang w:eastAsia="zh-CN"/>
              </w:rPr>
              <w:t>；</w:t>
            </w:r>
            <w:r>
              <w:rPr>
                <w:rFonts w:hint="eastAsia" w:ascii="仿宋" w:hAnsi="仿宋" w:eastAsia="仿宋" w:cs="仿宋"/>
                <w:snapToGrid w:val="0"/>
                <w:color w:val="000000"/>
                <w:spacing w:val="-4"/>
                <w:kern w:val="0"/>
                <w:sz w:val="21"/>
                <w:szCs w:val="21"/>
              </w:rPr>
              <w:t>陈利平</w:t>
            </w:r>
            <w:r>
              <w:rPr>
                <w:rFonts w:hint="eastAsia" w:ascii="仿宋" w:hAnsi="仿宋" w:eastAsia="仿宋" w:cs="仿宋"/>
                <w:snapToGrid w:val="0"/>
                <w:color w:val="000000"/>
                <w:spacing w:val="-4"/>
                <w:kern w:val="0"/>
                <w:sz w:val="21"/>
                <w:szCs w:val="21"/>
                <w:lang w:eastAsia="zh-CN"/>
              </w:rPr>
              <w:t>；</w:t>
            </w:r>
            <w:r>
              <w:rPr>
                <w:rFonts w:hint="eastAsia" w:ascii="仿宋" w:hAnsi="仿宋" w:eastAsia="仿宋" w:cs="仿宋"/>
                <w:snapToGrid w:val="0"/>
                <w:color w:val="000000"/>
                <w:spacing w:val="-4"/>
                <w:kern w:val="0"/>
                <w:sz w:val="21"/>
                <w:szCs w:val="21"/>
              </w:rPr>
              <w:t>刘延奇</w:t>
            </w:r>
            <w:r>
              <w:rPr>
                <w:rFonts w:hint="eastAsia" w:ascii="仿宋" w:hAnsi="仿宋" w:eastAsia="仿宋" w:cs="仿宋"/>
                <w:snapToGrid w:val="0"/>
                <w:color w:val="000000"/>
                <w:spacing w:val="-4"/>
                <w:kern w:val="0"/>
                <w:sz w:val="21"/>
                <w:szCs w:val="21"/>
                <w:lang w:eastAsia="zh-CN"/>
              </w:rPr>
              <w:t>；</w:t>
            </w:r>
            <w:bookmarkStart w:id="0" w:name="_GoBack"/>
            <w:bookmarkEnd w:id="0"/>
            <w:r>
              <w:rPr>
                <w:rFonts w:hint="eastAsia" w:ascii="仿宋" w:hAnsi="仿宋" w:eastAsia="仿宋" w:cs="仿宋"/>
                <w:snapToGrid w:val="0"/>
                <w:color w:val="000000"/>
                <w:spacing w:val="-4"/>
                <w:kern w:val="0"/>
                <w:sz w:val="21"/>
                <w:szCs w:val="21"/>
              </w:rPr>
              <w:t>申瑞玲</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7921A">
            <w:pPr>
              <w:snapToGrid w:val="0"/>
              <w:spacing w:line="36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长期使用权（10年）</w:t>
            </w:r>
          </w:p>
        </w:tc>
        <w:tc>
          <w:tcPr>
            <w:tcW w:w="709" w:type="dxa"/>
            <w:tcBorders>
              <w:left w:val="single" w:color="000000" w:sz="4" w:space="0"/>
              <w:bottom w:val="single" w:color="000000" w:sz="4" w:space="0"/>
              <w:right w:val="single" w:color="000000" w:sz="4" w:space="0"/>
            </w:tcBorders>
            <w:shd w:val="clear" w:color="auto" w:fill="auto"/>
            <w:vAlign w:val="center"/>
          </w:tcPr>
          <w:p w14:paraId="24D0F3D2">
            <w:pPr>
              <w:spacing w:line="360" w:lineRule="auto"/>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rPr>
              <w:t>专利权许可实施</w:t>
            </w:r>
          </w:p>
        </w:tc>
        <w:tc>
          <w:tcPr>
            <w:tcW w:w="1134" w:type="dxa"/>
            <w:tcBorders>
              <w:left w:val="single" w:color="000000" w:sz="4" w:space="0"/>
              <w:bottom w:val="single" w:color="000000" w:sz="4" w:space="0"/>
              <w:right w:val="single" w:color="000000" w:sz="4" w:space="0"/>
            </w:tcBorders>
            <w:shd w:val="clear" w:color="auto" w:fill="auto"/>
            <w:vAlign w:val="center"/>
          </w:tcPr>
          <w:p w14:paraId="7A2D58D8">
            <w:pPr>
              <w:spacing w:line="360" w:lineRule="auto"/>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33</w:t>
            </w:r>
          </w:p>
        </w:tc>
        <w:tc>
          <w:tcPr>
            <w:tcW w:w="1417" w:type="dxa"/>
            <w:tcBorders>
              <w:left w:val="single" w:color="000000" w:sz="4" w:space="0"/>
              <w:bottom w:val="single" w:color="000000" w:sz="4" w:space="0"/>
              <w:right w:val="single" w:color="000000" w:sz="4" w:space="0"/>
            </w:tcBorders>
            <w:shd w:val="clear" w:color="auto" w:fill="auto"/>
            <w:vAlign w:val="center"/>
          </w:tcPr>
          <w:p w14:paraId="785AD7E4">
            <w:pPr>
              <w:spacing w:line="360" w:lineRule="auto"/>
              <w:jc w:val="center"/>
              <w:rPr>
                <w:rFonts w:hint="eastAsia" w:ascii="仿宋" w:hAnsi="仿宋" w:eastAsia="仿宋" w:cs="仿宋"/>
                <w:snapToGrid w:val="0"/>
                <w:color w:val="000000"/>
                <w:spacing w:val="-3"/>
                <w:kern w:val="0"/>
                <w:sz w:val="21"/>
                <w:szCs w:val="21"/>
                <w:lang w:val="en-US" w:eastAsia="zh-CN" w:bidi="ar-SA"/>
              </w:rPr>
            </w:pPr>
            <w:r>
              <w:rPr>
                <w:rFonts w:hint="eastAsia" w:ascii="仿宋" w:hAnsi="仿宋" w:eastAsia="仿宋" w:cs="仿宋"/>
                <w:snapToGrid w:val="0"/>
                <w:color w:val="000000"/>
                <w:spacing w:val="-3"/>
                <w:kern w:val="0"/>
                <w:sz w:val="21"/>
                <w:szCs w:val="21"/>
              </w:rPr>
              <w:t>郑州大河食品科技有限公司</w:t>
            </w:r>
          </w:p>
        </w:tc>
        <w:tc>
          <w:tcPr>
            <w:tcW w:w="714" w:type="dxa"/>
            <w:tcBorders>
              <w:left w:val="single" w:color="000000" w:sz="4" w:space="0"/>
              <w:bottom w:val="single" w:color="000000" w:sz="4" w:space="0"/>
              <w:right w:val="single" w:color="000000" w:sz="4" w:space="0"/>
            </w:tcBorders>
          </w:tcPr>
          <w:p w14:paraId="4FDB11DD">
            <w:pPr>
              <w:widowControl/>
              <w:spacing w:line="360" w:lineRule="auto"/>
              <w:jc w:val="center"/>
              <w:textAlignment w:val="center"/>
              <w:rPr>
                <w:rFonts w:hint="eastAsia" w:ascii="仿宋" w:hAnsi="仿宋" w:eastAsia="仿宋" w:cs="仿宋"/>
                <w:bCs/>
                <w:sz w:val="21"/>
                <w:szCs w:val="21"/>
              </w:rPr>
            </w:pPr>
          </w:p>
        </w:tc>
      </w:tr>
    </w:tbl>
    <w:p w14:paraId="6B78FB18"/>
    <w:p w14:paraId="147C5C65"/>
    <w:p w14:paraId="147C5C66"/>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2000000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0026E01"/>
    <w:rsid w:val="000577BD"/>
    <w:rsid w:val="001511E3"/>
    <w:rsid w:val="001E23C0"/>
    <w:rsid w:val="002845E9"/>
    <w:rsid w:val="00314994"/>
    <w:rsid w:val="00423C6D"/>
    <w:rsid w:val="004B132C"/>
    <w:rsid w:val="0053360F"/>
    <w:rsid w:val="005814EC"/>
    <w:rsid w:val="005E469A"/>
    <w:rsid w:val="00642CB1"/>
    <w:rsid w:val="00681D52"/>
    <w:rsid w:val="00697C3E"/>
    <w:rsid w:val="00750092"/>
    <w:rsid w:val="007B3BD2"/>
    <w:rsid w:val="00A6772C"/>
    <w:rsid w:val="00B27659"/>
    <w:rsid w:val="00B70EF8"/>
    <w:rsid w:val="00B812C8"/>
    <w:rsid w:val="00EA1846"/>
    <w:rsid w:val="00F51708"/>
    <w:rsid w:val="00FC5D0D"/>
    <w:rsid w:val="01802C9E"/>
    <w:rsid w:val="02C62933"/>
    <w:rsid w:val="02F70D3E"/>
    <w:rsid w:val="04243DB5"/>
    <w:rsid w:val="04854128"/>
    <w:rsid w:val="065A13C7"/>
    <w:rsid w:val="077A1F3E"/>
    <w:rsid w:val="08EC29C7"/>
    <w:rsid w:val="09BC683E"/>
    <w:rsid w:val="0A31466E"/>
    <w:rsid w:val="0CF12CA2"/>
    <w:rsid w:val="0DA33F9D"/>
    <w:rsid w:val="0E43752E"/>
    <w:rsid w:val="0F2B62DD"/>
    <w:rsid w:val="0FC41FA8"/>
    <w:rsid w:val="10E84E7D"/>
    <w:rsid w:val="115D0906"/>
    <w:rsid w:val="121D3BF2"/>
    <w:rsid w:val="12366FB6"/>
    <w:rsid w:val="12D544CC"/>
    <w:rsid w:val="1308507D"/>
    <w:rsid w:val="130B7EEE"/>
    <w:rsid w:val="133B4C77"/>
    <w:rsid w:val="15455939"/>
    <w:rsid w:val="165D4F05"/>
    <w:rsid w:val="16CA52C0"/>
    <w:rsid w:val="16FC471D"/>
    <w:rsid w:val="17942BA8"/>
    <w:rsid w:val="184243B2"/>
    <w:rsid w:val="186407CC"/>
    <w:rsid w:val="18BF1EA7"/>
    <w:rsid w:val="18F25DD8"/>
    <w:rsid w:val="19086FD4"/>
    <w:rsid w:val="19DC4392"/>
    <w:rsid w:val="1ADC289C"/>
    <w:rsid w:val="1AE259D8"/>
    <w:rsid w:val="1B634D6B"/>
    <w:rsid w:val="1CDC3027"/>
    <w:rsid w:val="1D594678"/>
    <w:rsid w:val="1F51312D"/>
    <w:rsid w:val="20036B1D"/>
    <w:rsid w:val="20196340"/>
    <w:rsid w:val="20474C5B"/>
    <w:rsid w:val="2164183D"/>
    <w:rsid w:val="21FB3F4F"/>
    <w:rsid w:val="22603DB2"/>
    <w:rsid w:val="22B50ABD"/>
    <w:rsid w:val="24763D61"/>
    <w:rsid w:val="24F829C8"/>
    <w:rsid w:val="25A14E0E"/>
    <w:rsid w:val="27483067"/>
    <w:rsid w:val="279664C8"/>
    <w:rsid w:val="27B506FD"/>
    <w:rsid w:val="27E15995"/>
    <w:rsid w:val="281F4531"/>
    <w:rsid w:val="282E6701"/>
    <w:rsid w:val="291C04E3"/>
    <w:rsid w:val="29AC1FD3"/>
    <w:rsid w:val="29CE5AA6"/>
    <w:rsid w:val="2A0D4B95"/>
    <w:rsid w:val="2AA607D0"/>
    <w:rsid w:val="2B3E30FF"/>
    <w:rsid w:val="2C583D4C"/>
    <w:rsid w:val="2CBF3DCB"/>
    <w:rsid w:val="2D1660E1"/>
    <w:rsid w:val="2D60735C"/>
    <w:rsid w:val="2DDB69E3"/>
    <w:rsid w:val="2E185E1F"/>
    <w:rsid w:val="2E5D389C"/>
    <w:rsid w:val="2EAD65D1"/>
    <w:rsid w:val="2EC8785D"/>
    <w:rsid w:val="2F3445FD"/>
    <w:rsid w:val="2F7075FF"/>
    <w:rsid w:val="2FB4573E"/>
    <w:rsid w:val="30434020"/>
    <w:rsid w:val="30B31E99"/>
    <w:rsid w:val="30D20571"/>
    <w:rsid w:val="31F14A27"/>
    <w:rsid w:val="32713DBA"/>
    <w:rsid w:val="340D18C0"/>
    <w:rsid w:val="37533A8E"/>
    <w:rsid w:val="3B1A3241"/>
    <w:rsid w:val="3C687FDC"/>
    <w:rsid w:val="3D255ECD"/>
    <w:rsid w:val="3DE93370"/>
    <w:rsid w:val="3E9C6EB8"/>
    <w:rsid w:val="41410DFB"/>
    <w:rsid w:val="415E2C8C"/>
    <w:rsid w:val="416C231C"/>
    <w:rsid w:val="41C23CEA"/>
    <w:rsid w:val="42D261AF"/>
    <w:rsid w:val="44BF2763"/>
    <w:rsid w:val="45C71643"/>
    <w:rsid w:val="476475F1"/>
    <w:rsid w:val="484C6A03"/>
    <w:rsid w:val="487552F3"/>
    <w:rsid w:val="49060960"/>
    <w:rsid w:val="49153299"/>
    <w:rsid w:val="492D05E3"/>
    <w:rsid w:val="49715DD6"/>
    <w:rsid w:val="4AE253FD"/>
    <w:rsid w:val="4B6E4EE3"/>
    <w:rsid w:val="4D185106"/>
    <w:rsid w:val="4F3124AF"/>
    <w:rsid w:val="4FE85264"/>
    <w:rsid w:val="50D852D8"/>
    <w:rsid w:val="546D3F89"/>
    <w:rsid w:val="547277F2"/>
    <w:rsid w:val="54B716A8"/>
    <w:rsid w:val="551774C3"/>
    <w:rsid w:val="55AC6D33"/>
    <w:rsid w:val="582C5A22"/>
    <w:rsid w:val="58406388"/>
    <w:rsid w:val="591A2206"/>
    <w:rsid w:val="59633BAD"/>
    <w:rsid w:val="5B224AB4"/>
    <w:rsid w:val="5BE80399"/>
    <w:rsid w:val="5C401F83"/>
    <w:rsid w:val="5D011713"/>
    <w:rsid w:val="5D17501F"/>
    <w:rsid w:val="5DB91FED"/>
    <w:rsid w:val="5DD24E5D"/>
    <w:rsid w:val="5EBA601D"/>
    <w:rsid w:val="5EFD23AE"/>
    <w:rsid w:val="5F030150"/>
    <w:rsid w:val="5F2C39B9"/>
    <w:rsid w:val="5F41673E"/>
    <w:rsid w:val="5FAA6092"/>
    <w:rsid w:val="60C458D1"/>
    <w:rsid w:val="625C563D"/>
    <w:rsid w:val="645962D8"/>
    <w:rsid w:val="67DF4D46"/>
    <w:rsid w:val="67E22141"/>
    <w:rsid w:val="68B47F81"/>
    <w:rsid w:val="6A010FA4"/>
    <w:rsid w:val="6A70612A"/>
    <w:rsid w:val="6AA3205B"/>
    <w:rsid w:val="6AC54B15"/>
    <w:rsid w:val="6B5E5F82"/>
    <w:rsid w:val="6C3C2767"/>
    <w:rsid w:val="6C8E0883"/>
    <w:rsid w:val="6C97799E"/>
    <w:rsid w:val="6CF03552"/>
    <w:rsid w:val="6D785A21"/>
    <w:rsid w:val="6DE50BDD"/>
    <w:rsid w:val="6E182D60"/>
    <w:rsid w:val="6EB04D47"/>
    <w:rsid w:val="6F03131A"/>
    <w:rsid w:val="6F9D176F"/>
    <w:rsid w:val="70F64AE0"/>
    <w:rsid w:val="71AB5C99"/>
    <w:rsid w:val="72367C59"/>
    <w:rsid w:val="72435ED2"/>
    <w:rsid w:val="72C45265"/>
    <w:rsid w:val="73353A6C"/>
    <w:rsid w:val="734E4B2E"/>
    <w:rsid w:val="74624D35"/>
    <w:rsid w:val="748527D2"/>
    <w:rsid w:val="76530DD9"/>
    <w:rsid w:val="76B80C3C"/>
    <w:rsid w:val="772E0EFE"/>
    <w:rsid w:val="7870237F"/>
    <w:rsid w:val="7A513F98"/>
    <w:rsid w:val="7B193C74"/>
    <w:rsid w:val="7B5D0004"/>
    <w:rsid w:val="7B841A35"/>
    <w:rsid w:val="7B9D6653"/>
    <w:rsid w:val="7C5950EA"/>
    <w:rsid w:val="7CA13F21"/>
    <w:rsid w:val="7D0A5F6A"/>
    <w:rsid w:val="7F8A269C"/>
    <w:rsid w:val="7F9D30C5"/>
    <w:rsid w:val="7FC9210C"/>
    <w:rsid w:val="7FCF6F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0"/>
    <w:rPr>
      <w:rFonts w:ascii="Calibri" w:hAnsi="Calibri"/>
      <w:kern w:val="2"/>
      <w:sz w:val="18"/>
      <w:szCs w:val="18"/>
    </w:rPr>
  </w:style>
  <w:style w:type="character" w:customStyle="1" w:styleId="7">
    <w:name w:val="页脚 字符"/>
    <w:basedOn w:val="5"/>
    <w:link w:val="2"/>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1917</Words>
  <Characters>2031</Characters>
  <Lines>15</Lines>
  <Paragraphs>4</Paragraphs>
  <TotalTime>7</TotalTime>
  <ScaleCrop>false</ScaleCrop>
  <LinksUpToDate>false</LinksUpToDate>
  <CharactersWithSpaces>2102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2025-10-11T08:50:38Z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8DF519B5A8CA4C3ABADB868352AF8BFB_13</vt:lpwstr>
  </property>
  <property fmtid="{D5CDD505-2E9C-101B-9397-08002B2CF9AE}" pid="4" name="KSOTemplateDocerSaveRecord">
    <vt:lpwstr>eyJoZGlkIjoiNjRiMWNhNzcyYTNmZTkwZTQxMjQ2NTA4NDVmOGU4OGYiLCJ1c2VySWQiOiIzMDA5MzIwNzcifQ==</vt:lpwstr>
  </property>
</Properties>
</file>