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CF3F2AB">
      <w:pPr>
        <w:jc w:val="center"/>
        <w:rPr>
          <w:rFonts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郑州轻工业大学科研成果赋权情况表</w:t>
      </w:r>
    </w:p>
    <w:p w14:paraId="45B173C5">
      <w:pPr>
        <w:spacing w:before="156" w:beforeLines="50"/>
        <w:jc w:val="center"/>
        <w:rPr>
          <w:rFonts w:ascii="仿宋" w:hAnsi="仿宋" w:eastAsia="仿宋" w:cs="仿宋"/>
          <w:sz w:val="28"/>
          <w:szCs w:val="28"/>
        </w:rPr>
      </w:pPr>
      <w:r>
        <w:rPr>
          <w:rFonts w:hint="eastAsia" w:ascii="仿宋" w:hAnsi="仿宋" w:eastAsia="仿宋" w:cs="仿宋"/>
          <w:sz w:val="28"/>
          <w:szCs w:val="28"/>
        </w:rPr>
        <w:t xml:space="preserve">                                                                      时间：202</w:t>
      </w:r>
      <w:r>
        <w:rPr>
          <w:rFonts w:ascii="仿宋" w:hAnsi="仿宋" w:eastAsia="仿宋" w:cs="仿宋"/>
          <w:sz w:val="28"/>
          <w:szCs w:val="28"/>
        </w:rPr>
        <w:t>6</w:t>
      </w:r>
      <w:r>
        <w:rPr>
          <w:rFonts w:hint="eastAsia" w:ascii="仿宋" w:hAnsi="仿宋" w:eastAsia="仿宋" w:cs="仿宋"/>
          <w:sz w:val="28"/>
          <w:szCs w:val="28"/>
        </w:rPr>
        <w:t>年</w:t>
      </w:r>
      <w:r>
        <w:rPr>
          <w:rFonts w:ascii="仿宋" w:hAnsi="仿宋" w:eastAsia="仿宋" w:cs="仿宋"/>
          <w:sz w:val="28"/>
          <w:szCs w:val="28"/>
        </w:rPr>
        <w:t xml:space="preserve">1 </w:t>
      </w:r>
      <w:r>
        <w:rPr>
          <w:rFonts w:hint="eastAsia" w:ascii="仿宋" w:hAnsi="仿宋" w:eastAsia="仿宋" w:cs="仿宋"/>
          <w:sz w:val="28"/>
          <w:szCs w:val="28"/>
        </w:rPr>
        <w:t>月</w:t>
      </w:r>
      <w:r>
        <w:rPr>
          <w:rFonts w:ascii="仿宋" w:hAnsi="仿宋" w:eastAsia="仿宋" w:cs="仿宋"/>
          <w:sz w:val="28"/>
          <w:szCs w:val="28"/>
        </w:rPr>
        <w:t>2</w:t>
      </w:r>
      <w:r>
        <w:rPr>
          <w:rFonts w:hint="eastAsia" w:ascii="仿宋" w:hAnsi="仿宋" w:eastAsia="仿宋" w:cs="仿宋"/>
          <w:sz w:val="28"/>
          <w:szCs w:val="28"/>
          <w:lang w:val="en-US" w:eastAsia="zh-CN"/>
        </w:rPr>
        <w:t>3</w:t>
      </w:r>
      <w:r>
        <w:rPr>
          <w:rFonts w:hint="eastAsia" w:ascii="仿宋" w:hAnsi="仿宋" w:eastAsia="仿宋" w:cs="仿宋"/>
          <w:sz w:val="28"/>
          <w:szCs w:val="28"/>
        </w:rPr>
        <w:t>日</w:t>
      </w:r>
    </w:p>
    <w:tbl>
      <w:tblPr>
        <w:tblStyle w:val="4"/>
        <w:tblpPr w:leftFromText="180" w:rightFromText="180" w:vertAnchor="text" w:horzAnchor="page" w:tblpX="1551" w:tblpY="435"/>
        <w:tblOverlap w:val="never"/>
        <w:tblW w:w="13837"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44"/>
        <w:gridCol w:w="2279"/>
        <w:gridCol w:w="2530"/>
        <w:gridCol w:w="1559"/>
        <w:gridCol w:w="2276"/>
        <w:gridCol w:w="1207"/>
        <w:gridCol w:w="1371"/>
        <w:gridCol w:w="1285"/>
        <w:gridCol w:w="786"/>
      </w:tblGrid>
      <w:tr w14:paraId="2C1E6E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6" w:hRule="atLeast"/>
        </w:trPr>
        <w:tc>
          <w:tcPr>
            <w:tcW w:w="544" w:type="dxa"/>
            <w:vAlign w:val="center"/>
          </w:tcPr>
          <w:p w14:paraId="43B32AC0">
            <w:pPr>
              <w:snapToGrid w:val="0"/>
              <w:spacing w:line="340" w:lineRule="atLeast"/>
              <w:jc w:val="center"/>
              <w:rPr>
                <w:rFonts w:ascii="黑体" w:hAnsi="黑体" w:eastAsia="黑体" w:cs="黑体"/>
                <w:sz w:val="24"/>
              </w:rPr>
            </w:pPr>
            <w:r>
              <w:rPr>
                <w:rFonts w:hint="eastAsia" w:ascii="黑体" w:hAnsi="黑体" w:eastAsia="黑体" w:cs="黑体"/>
                <w:sz w:val="24"/>
              </w:rPr>
              <w:t>序号</w:t>
            </w:r>
          </w:p>
        </w:tc>
        <w:tc>
          <w:tcPr>
            <w:tcW w:w="2279" w:type="dxa"/>
            <w:vAlign w:val="center"/>
          </w:tcPr>
          <w:p w14:paraId="4B7BEDF4">
            <w:pPr>
              <w:snapToGrid w:val="0"/>
              <w:spacing w:line="340" w:lineRule="atLeast"/>
              <w:jc w:val="center"/>
              <w:rPr>
                <w:rFonts w:ascii="黑体" w:hAnsi="黑体" w:eastAsia="黑体" w:cs="黑体"/>
                <w:sz w:val="24"/>
              </w:rPr>
            </w:pPr>
            <w:r>
              <w:rPr>
                <w:rFonts w:hint="eastAsia" w:ascii="黑体" w:hAnsi="黑体" w:eastAsia="黑体" w:cs="黑体"/>
                <w:sz w:val="24"/>
              </w:rPr>
              <w:t>成果名称</w:t>
            </w:r>
          </w:p>
        </w:tc>
        <w:tc>
          <w:tcPr>
            <w:tcW w:w="2530" w:type="dxa"/>
            <w:vAlign w:val="center"/>
          </w:tcPr>
          <w:p w14:paraId="6C647A30">
            <w:pPr>
              <w:snapToGrid w:val="0"/>
              <w:spacing w:line="340" w:lineRule="atLeast"/>
              <w:jc w:val="center"/>
              <w:rPr>
                <w:rFonts w:ascii="黑体" w:hAnsi="黑体" w:eastAsia="黑体" w:cs="黑体"/>
                <w:sz w:val="24"/>
              </w:rPr>
            </w:pPr>
            <w:r>
              <w:rPr>
                <w:rFonts w:hint="eastAsia" w:ascii="黑体" w:hAnsi="黑体" w:eastAsia="黑体" w:cs="黑体"/>
                <w:sz w:val="24"/>
              </w:rPr>
              <w:t>成果内容摘要</w:t>
            </w:r>
          </w:p>
        </w:tc>
        <w:tc>
          <w:tcPr>
            <w:tcW w:w="1559" w:type="dxa"/>
            <w:vAlign w:val="center"/>
          </w:tcPr>
          <w:p w14:paraId="65B06764">
            <w:pPr>
              <w:snapToGrid w:val="0"/>
              <w:spacing w:line="340" w:lineRule="atLeast"/>
              <w:jc w:val="center"/>
              <w:rPr>
                <w:rFonts w:ascii="黑体" w:hAnsi="黑体" w:eastAsia="黑体" w:cs="黑体"/>
                <w:sz w:val="24"/>
              </w:rPr>
            </w:pPr>
            <w:r>
              <w:rPr>
                <w:rFonts w:hint="eastAsia" w:ascii="黑体" w:hAnsi="黑体" w:eastAsia="黑体" w:cs="黑体"/>
                <w:sz w:val="24"/>
              </w:rPr>
              <w:t>成果完成人</w:t>
            </w:r>
          </w:p>
        </w:tc>
        <w:tc>
          <w:tcPr>
            <w:tcW w:w="2276" w:type="dxa"/>
            <w:vAlign w:val="center"/>
          </w:tcPr>
          <w:p w14:paraId="3B7B4D28">
            <w:pPr>
              <w:snapToGrid w:val="0"/>
              <w:spacing w:line="340" w:lineRule="atLeast"/>
              <w:jc w:val="center"/>
              <w:rPr>
                <w:rFonts w:ascii="黑体" w:hAnsi="黑体" w:eastAsia="黑体" w:cs="黑体"/>
                <w:sz w:val="24"/>
              </w:rPr>
            </w:pPr>
            <w:r>
              <w:rPr>
                <w:rFonts w:hint="eastAsia" w:ascii="黑体" w:hAnsi="黑体" w:eastAsia="黑体" w:cs="黑体"/>
                <w:sz w:val="24"/>
              </w:rPr>
              <w:t>赋权类型</w:t>
            </w:r>
          </w:p>
        </w:tc>
        <w:tc>
          <w:tcPr>
            <w:tcW w:w="1207" w:type="dxa"/>
            <w:vAlign w:val="center"/>
          </w:tcPr>
          <w:p w14:paraId="044BCB9B">
            <w:pPr>
              <w:snapToGrid w:val="0"/>
              <w:spacing w:line="340" w:lineRule="atLeast"/>
              <w:jc w:val="center"/>
              <w:rPr>
                <w:rFonts w:ascii="黑体" w:hAnsi="黑体" w:eastAsia="黑体" w:cs="黑体"/>
                <w:sz w:val="24"/>
              </w:rPr>
            </w:pPr>
            <w:r>
              <w:rPr>
                <w:rFonts w:hint="eastAsia" w:ascii="黑体" w:hAnsi="黑体" w:eastAsia="黑体" w:cs="黑体"/>
                <w:sz w:val="24"/>
              </w:rPr>
              <w:t>转化</w:t>
            </w:r>
          </w:p>
          <w:p w14:paraId="6ACEA524">
            <w:pPr>
              <w:snapToGrid w:val="0"/>
              <w:spacing w:line="340" w:lineRule="atLeast"/>
              <w:jc w:val="center"/>
              <w:rPr>
                <w:rFonts w:ascii="黑体" w:hAnsi="黑体" w:eastAsia="黑体" w:cs="黑体"/>
                <w:sz w:val="24"/>
              </w:rPr>
            </w:pPr>
            <w:r>
              <w:rPr>
                <w:rFonts w:hint="eastAsia" w:ascii="黑体" w:hAnsi="黑体" w:eastAsia="黑体" w:cs="黑体"/>
                <w:sz w:val="24"/>
              </w:rPr>
              <w:t>方式</w:t>
            </w:r>
          </w:p>
        </w:tc>
        <w:tc>
          <w:tcPr>
            <w:tcW w:w="1371" w:type="dxa"/>
            <w:vAlign w:val="center"/>
          </w:tcPr>
          <w:p w14:paraId="14A239E3">
            <w:pPr>
              <w:snapToGrid w:val="0"/>
              <w:spacing w:line="340" w:lineRule="atLeast"/>
              <w:jc w:val="center"/>
              <w:rPr>
                <w:rFonts w:ascii="黑体" w:hAnsi="黑体" w:eastAsia="黑体" w:cs="黑体"/>
                <w:sz w:val="24"/>
              </w:rPr>
            </w:pPr>
            <w:r>
              <w:rPr>
                <w:rFonts w:hint="eastAsia" w:ascii="黑体" w:hAnsi="黑体" w:eastAsia="黑体" w:cs="黑体"/>
                <w:sz w:val="24"/>
              </w:rPr>
              <w:t>交易金额（万元）</w:t>
            </w:r>
          </w:p>
        </w:tc>
        <w:tc>
          <w:tcPr>
            <w:tcW w:w="1285" w:type="dxa"/>
            <w:vAlign w:val="center"/>
          </w:tcPr>
          <w:p w14:paraId="2E936AD8">
            <w:pPr>
              <w:snapToGrid w:val="0"/>
              <w:spacing w:line="340" w:lineRule="atLeast"/>
              <w:jc w:val="center"/>
              <w:rPr>
                <w:rFonts w:ascii="黑体" w:hAnsi="黑体" w:eastAsia="黑体" w:cs="黑体"/>
                <w:sz w:val="24"/>
              </w:rPr>
            </w:pPr>
            <w:r>
              <w:rPr>
                <w:rFonts w:hint="eastAsia" w:ascii="黑体" w:hAnsi="黑体" w:eastAsia="黑体" w:cs="黑体"/>
                <w:sz w:val="24"/>
              </w:rPr>
              <w:t>受让方</w:t>
            </w:r>
          </w:p>
        </w:tc>
        <w:tc>
          <w:tcPr>
            <w:tcW w:w="786" w:type="dxa"/>
            <w:vAlign w:val="center"/>
          </w:tcPr>
          <w:p w14:paraId="6876AED7">
            <w:pPr>
              <w:snapToGrid w:val="0"/>
              <w:spacing w:line="340" w:lineRule="atLeast"/>
              <w:jc w:val="center"/>
              <w:rPr>
                <w:rFonts w:ascii="黑体" w:hAnsi="黑体" w:eastAsia="黑体" w:cs="黑体"/>
                <w:sz w:val="24"/>
              </w:rPr>
            </w:pPr>
            <w:r>
              <w:rPr>
                <w:rFonts w:hint="eastAsia" w:ascii="黑体" w:hAnsi="黑体" w:eastAsia="黑体" w:cs="黑体"/>
                <w:sz w:val="24"/>
              </w:rPr>
              <w:t>备注</w:t>
            </w:r>
          </w:p>
        </w:tc>
      </w:tr>
      <w:tr w14:paraId="4F74E4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39" w:hRule="atLeast"/>
        </w:trPr>
        <w:tc>
          <w:tcPr>
            <w:tcW w:w="544" w:type="dxa"/>
            <w:vAlign w:val="center"/>
          </w:tcPr>
          <w:p w14:paraId="06DE7660">
            <w:pPr>
              <w:snapToGrid w:val="0"/>
              <w:spacing w:line="340" w:lineRule="atLeast"/>
              <w:jc w:val="center"/>
              <w:rPr>
                <w:rFonts w:hint="eastAsia" w:ascii="黑体" w:hAnsi="黑体" w:eastAsia="黑体" w:cs="黑体"/>
                <w:sz w:val="24"/>
                <w:lang w:val="en-US" w:eastAsia="zh-CN"/>
              </w:rPr>
            </w:pPr>
            <w:r>
              <w:rPr>
                <w:rFonts w:hint="eastAsia" w:ascii="黑体" w:hAnsi="黑体" w:eastAsia="黑体" w:cs="黑体"/>
                <w:sz w:val="24"/>
                <w:lang w:val="en-US" w:eastAsia="zh-CN"/>
              </w:rPr>
              <w:t>1</w:t>
            </w:r>
          </w:p>
        </w:tc>
        <w:tc>
          <w:tcPr>
            <w:tcW w:w="2279" w:type="dxa"/>
            <w:shd w:val="clear"/>
            <w:vAlign w:val="center"/>
          </w:tcPr>
          <w:p w14:paraId="44A08D7C">
            <w:pPr>
              <w:keepNext/>
              <w:snapToGrid w:val="0"/>
              <w:spacing w:line="340" w:lineRule="atLeast"/>
              <w:jc w:val="center"/>
              <w:rPr>
                <w:rFonts w:hint="eastAsia" w:ascii="仿宋" w:hAnsi="仿宋" w:eastAsia="仿宋" w:cs="仿宋"/>
                <w:snapToGrid w:val="0"/>
                <w:color w:val="000000"/>
                <w:spacing w:val="-4"/>
                <w:kern w:val="0"/>
                <w:sz w:val="24"/>
                <w:szCs w:val="24"/>
                <w:lang w:val="en-US" w:eastAsia="zh-CN" w:bidi="ar-SA"/>
              </w:rPr>
            </w:pPr>
            <w:r>
              <w:rPr>
                <w:rFonts w:hint="eastAsia"/>
              </w:rPr>
              <w:t>一种过渡双金属硫化物固溶体电解水催化剂的制备方法及其应用</w:t>
            </w:r>
          </w:p>
        </w:tc>
        <w:tc>
          <w:tcPr>
            <w:tcW w:w="2530" w:type="dxa"/>
            <w:shd w:val="clear"/>
            <w:vAlign w:val="center"/>
          </w:tcPr>
          <w:p w14:paraId="4C9BE9EE">
            <w:pPr>
              <w:keepNext/>
              <w:snapToGrid w:val="0"/>
              <w:spacing w:line="340" w:lineRule="atLeast"/>
              <w:jc w:val="center"/>
              <w:rPr>
                <w:rFonts w:hint="eastAsia" w:ascii="仿宋" w:hAnsi="仿宋" w:eastAsia="仿宋" w:cs="仿宋"/>
                <w:snapToGrid w:val="0"/>
                <w:color w:val="000000"/>
                <w:spacing w:val="-4"/>
                <w:kern w:val="0"/>
                <w:sz w:val="24"/>
                <w:szCs w:val="24"/>
                <w:lang w:val="en-US" w:eastAsia="zh-CN" w:bidi="ar-SA"/>
              </w:rPr>
            </w:pPr>
            <w:r>
              <w:rPr>
                <w:rFonts w:hint="eastAsia" w:ascii="仿宋" w:hAnsi="仿宋" w:eastAsia="仿宋" w:cs="仿宋"/>
                <w:bCs/>
                <w:snapToGrid w:val="0"/>
                <w:color w:val="000000"/>
                <w:spacing w:val="-4"/>
                <w:kern w:val="0"/>
                <w:sz w:val="24"/>
              </w:rPr>
              <w:t>本发明属于电解水与新能源技术领域,涉及电解水催化剂的制备,具体涉及一种过渡双金属硫化物固溶体电解水催化剂的制备方法及其应用。制备步骤如下：(1)将铁源、钴源和硫源分散在混合溶剂中,搅拌使原料充分溶解,得混合溶液；(2)将步骤(1)所得的混合溶液超声后在高压反应釜反应,降温后离心、洗涤、干燥,得前驱体粉末；(3)将步骤(2)所得的前驱体粉末在混合气体中反应,得过渡双金属硫化物固溶体电解水催化剂。制得的过渡双金属硫化物固溶体电解水催化剂电化学活性较高,接近贵金属催化剂；合成方法简单、制备时间短、环境友好、催化剂稳定性高,成本低廉,有利于商业化规模生产。</w:t>
            </w:r>
          </w:p>
        </w:tc>
        <w:tc>
          <w:tcPr>
            <w:tcW w:w="1559" w:type="dxa"/>
            <w:shd w:val="clear"/>
            <w:vAlign w:val="center"/>
          </w:tcPr>
          <w:p w14:paraId="717C288A">
            <w:pPr>
              <w:keepNext/>
              <w:snapToGrid w:val="0"/>
              <w:spacing w:line="340" w:lineRule="atLeast"/>
              <w:jc w:val="center"/>
              <w:rPr>
                <w:rFonts w:ascii="仿宋" w:hAnsi="仿宋" w:eastAsia="仿宋" w:cs="仿宋"/>
                <w:snapToGrid w:val="0"/>
                <w:color w:val="000000"/>
                <w:spacing w:val="-4"/>
                <w:kern w:val="0"/>
                <w:sz w:val="24"/>
              </w:rPr>
            </w:pPr>
            <w:r>
              <w:rPr>
                <w:rFonts w:hint="eastAsia" w:ascii="仿宋" w:hAnsi="仿宋" w:eastAsia="仿宋" w:cs="仿宋"/>
                <w:snapToGrid w:val="0"/>
                <w:color w:val="000000"/>
                <w:spacing w:val="-4"/>
                <w:kern w:val="0"/>
                <w:sz w:val="24"/>
              </w:rPr>
              <w:t>肖元化</w:t>
            </w:r>
          </w:p>
          <w:p w14:paraId="5E80113E">
            <w:pPr>
              <w:keepNext/>
              <w:snapToGrid w:val="0"/>
              <w:spacing w:line="340" w:lineRule="atLeast"/>
              <w:jc w:val="center"/>
              <w:rPr>
                <w:rFonts w:ascii="仿宋" w:hAnsi="仿宋" w:eastAsia="仿宋" w:cs="仿宋"/>
                <w:snapToGrid w:val="0"/>
                <w:color w:val="000000"/>
                <w:spacing w:val="-4"/>
                <w:kern w:val="0"/>
                <w:sz w:val="24"/>
              </w:rPr>
            </w:pPr>
            <w:r>
              <w:rPr>
                <w:rFonts w:hint="eastAsia" w:ascii="仿宋" w:hAnsi="仿宋" w:eastAsia="仿宋" w:cs="仿宋"/>
                <w:snapToGrid w:val="0"/>
                <w:color w:val="000000"/>
                <w:spacing w:val="-4"/>
                <w:kern w:val="0"/>
                <w:sz w:val="24"/>
              </w:rPr>
              <w:t>申丫</w:t>
            </w:r>
          </w:p>
          <w:p w14:paraId="7E3574A1">
            <w:pPr>
              <w:keepNext/>
              <w:snapToGrid w:val="0"/>
              <w:spacing w:line="340" w:lineRule="atLeast"/>
              <w:jc w:val="center"/>
              <w:rPr>
                <w:rFonts w:ascii="仿宋" w:hAnsi="仿宋" w:eastAsia="仿宋" w:cs="仿宋"/>
                <w:snapToGrid w:val="0"/>
                <w:color w:val="000000"/>
                <w:spacing w:val="-4"/>
                <w:kern w:val="0"/>
                <w:sz w:val="24"/>
              </w:rPr>
            </w:pPr>
            <w:r>
              <w:rPr>
                <w:rFonts w:hint="eastAsia" w:ascii="仿宋" w:hAnsi="仿宋" w:eastAsia="仿宋" w:cs="仿宋"/>
                <w:snapToGrid w:val="0"/>
                <w:color w:val="000000"/>
                <w:spacing w:val="-4"/>
                <w:kern w:val="0"/>
                <w:sz w:val="24"/>
              </w:rPr>
              <w:t>王雪兆</w:t>
            </w:r>
          </w:p>
          <w:p w14:paraId="031B4C26">
            <w:pPr>
              <w:keepNext/>
              <w:snapToGrid w:val="0"/>
              <w:spacing w:line="340" w:lineRule="atLeast"/>
              <w:jc w:val="center"/>
              <w:rPr>
                <w:rFonts w:ascii="仿宋" w:hAnsi="仿宋" w:eastAsia="仿宋" w:cs="仿宋"/>
                <w:snapToGrid w:val="0"/>
                <w:color w:val="000000"/>
                <w:spacing w:val="-4"/>
                <w:kern w:val="0"/>
                <w:sz w:val="24"/>
              </w:rPr>
            </w:pPr>
            <w:r>
              <w:rPr>
                <w:rFonts w:hint="eastAsia" w:ascii="仿宋" w:hAnsi="仿宋" w:eastAsia="仿宋" w:cs="仿宋"/>
                <w:snapToGrid w:val="0"/>
                <w:color w:val="000000"/>
                <w:spacing w:val="-4"/>
                <w:kern w:val="0"/>
                <w:sz w:val="24"/>
              </w:rPr>
              <w:t>苏当成</w:t>
            </w:r>
          </w:p>
          <w:p w14:paraId="3044EB4D">
            <w:pPr>
              <w:keepNext/>
              <w:snapToGrid w:val="0"/>
              <w:spacing w:line="340" w:lineRule="atLeast"/>
              <w:jc w:val="center"/>
              <w:rPr>
                <w:rFonts w:ascii="仿宋" w:hAnsi="仿宋" w:eastAsia="仿宋" w:cs="仿宋"/>
                <w:snapToGrid w:val="0"/>
                <w:color w:val="000000"/>
                <w:spacing w:val="-4"/>
                <w:kern w:val="0"/>
                <w:sz w:val="24"/>
              </w:rPr>
            </w:pPr>
            <w:r>
              <w:rPr>
                <w:rFonts w:hint="eastAsia" w:ascii="仿宋" w:hAnsi="仿宋" w:eastAsia="仿宋" w:cs="仿宋"/>
                <w:snapToGrid w:val="0"/>
                <w:color w:val="000000"/>
                <w:spacing w:val="-4"/>
                <w:kern w:val="0"/>
                <w:sz w:val="24"/>
              </w:rPr>
              <w:t>方少明</w:t>
            </w:r>
          </w:p>
          <w:p w14:paraId="1301E91B">
            <w:pPr>
              <w:keepNext/>
              <w:snapToGrid w:val="0"/>
              <w:spacing w:line="340" w:lineRule="atLeast"/>
              <w:jc w:val="center"/>
              <w:rPr>
                <w:rFonts w:ascii="仿宋" w:hAnsi="仿宋" w:eastAsia="仿宋" w:cs="仿宋"/>
                <w:snapToGrid w:val="0"/>
                <w:color w:val="000000"/>
                <w:spacing w:val="-4"/>
                <w:kern w:val="0"/>
                <w:sz w:val="24"/>
              </w:rPr>
            </w:pPr>
            <w:r>
              <w:rPr>
                <w:rFonts w:hint="eastAsia" w:ascii="仿宋" w:hAnsi="仿宋" w:eastAsia="仿宋" w:cs="仿宋"/>
                <w:snapToGrid w:val="0"/>
                <w:color w:val="000000"/>
                <w:spacing w:val="-4"/>
                <w:kern w:val="0"/>
                <w:sz w:val="24"/>
              </w:rPr>
              <w:t>吕文迪</w:t>
            </w:r>
          </w:p>
          <w:p w14:paraId="3C183D24">
            <w:pPr>
              <w:keepNext/>
              <w:snapToGrid w:val="0"/>
              <w:spacing w:line="340" w:lineRule="atLeast"/>
              <w:jc w:val="center"/>
              <w:rPr>
                <w:rFonts w:ascii="仿宋" w:hAnsi="仿宋" w:eastAsia="仿宋" w:cs="仿宋"/>
                <w:snapToGrid w:val="0"/>
                <w:color w:val="000000"/>
                <w:spacing w:val="-4"/>
                <w:kern w:val="0"/>
                <w:sz w:val="24"/>
              </w:rPr>
            </w:pPr>
            <w:r>
              <w:rPr>
                <w:rFonts w:hint="eastAsia" w:ascii="仿宋" w:hAnsi="仿宋" w:eastAsia="仿宋" w:cs="仿宋"/>
                <w:snapToGrid w:val="0"/>
                <w:color w:val="000000"/>
                <w:spacing w:val="-4"/>
                <w:kern w:val="0"/>
                <w:sz w:val="24"/>
              </w:rPr>
              <w:t>岳枫</w:t>
            </w:r>
          </w:p>
          <w:p w14:paraId="3637829A">
            <w:pPr>
              <w:keepNext/>
              <w:snapToGrid w:val="0"/>
              <w:spacing w:line="340" w:lineRule="atLeast"/>
              <w:jc w:val="center"/>
              <w:rPr>
                <w:rFonts w:ascii="仿宋" w:hAnsi="仿宋" w:eastAsia="仿宋" w:cs="仿宋"/>
                <w:snapToGrid w:val="0"/>
                <w:color w:val="000000"/>
                <w:spacing w:val="-4"/>
                <w:kern w:val="0"/>
                <w:sz w:val="24"/>
              </w:rPr>
            </w:pPr>
            <w:r>
              <w:rPr>
                <w:rFonts w:hint="eastAsia" w:ascii="仿宋" w:hAnsi="仿宋" w:eastAsia="仿宋" w:cs="仿宋"/>
                <w:snapToGrid w:val="0"/>
                <w:color w:val="000000"/>
                <w:spacing w:val="-4"/>
                <w:kern w:val="0"/>
                <w:sz w:val="24"/>
              </w:rPr>
              <w:t>温子晴</w:t>
            </w:r>
          </w:p>
          <w:p w14:paraId="6EE44E6B">
            <w:pPr>
              <w:keepNext/>
              <w:snapToGrid w:val="0"/>
              <w:spacing w:line="340" w:lineRule="atLeast"/>
              <w:jc w:val="center"/>
              <w:rPr>
                <w:rFonts w:ascii="仿宋" w:hAnsi="仿宋" w:eastAsia="仿宋" w:cs="仿宋"/>
                <w:snapToGrid w:val="0"/>
                <w:color w:val="000000"/>
                <w:spacing w:val="-4"/>
                <w:kern w:val="0"/>
                <w:sz w:val="24"/>
              </w:rPr>
            </w:pPr>
            <w:r>
              <w:rPr>
                <w:rFonts w:hint="eastAsia" w:ascii="仿宋" w:hAnsi="仿宋" w:eastAsia="仿宋" w:cs="仿宋"/>
                <w:snapToGrid w:val="0"/>
                <w:color w:val="000000"/>
                <w:spacing w:val="-4"/>
                <w:kern w:val="0"/>
                <w:sz w:val="24"/>
              </w:rPr>
              <w:t>孔阳</w:t>
            </w:r>
          </w:p>
          <w:p w14:paraId="7420E23E">
            <w:pPr>
              <w:keepNext/>
              <w:snapToGrid w:val="0"/>
              <w:spacing w:line="340" w:lineRule="atLeast"/>
              <w:jc w:val="center"/>
              <w:rPr>
                <w:rFonts w:ascii="仿宋" w:hAnsi="仿宋" w:eastAsia="仿宋" w:cs="仿宋"/>
                <w:snapToGrid w:val="0"/>
                <w:color w:val="000000"/>
                <w:spacing w:val="-4"/>
                <w:kern w:val="0"/>
                <w:sz w:val="24"/>
              </w:rPr>
            </w:pPr>
            <w:r>
              <w:rPr>
                <w:rFonts w:hint="eastAsia" w:ascii="仿宋" w:hAnsi="仿宋" w:eastAsia="仿宋" w:cs="仿宋"/>
                <w:snapToGrid w:val="0"/>
                <w:color w:val="000000"/>
                <w:spacing w:val="-4"/>
                <w:kern w:val="0"/>
                <w:sz w:val="24"/>
              </w:rPr>
              <w:t>张士威</w:t>
            </w:r>
          </w:p>
          <w:p w14:paraId="2E07CC51">
            <w:pPr>
              <w:keepNext/>
              <w:snapToGrid w:val="0"/>
              <w:spacing w:line="340" w:lineRule="atLeast"/>
              <w:jc w:val="center"/>
              <w:rPr>
                <w:rFonts w:hint="eastAsia" w:ascii="仿宋" w:hAnsi="仿宋" w:eastAsia="仿宋" w:cs="仿宋"/>
                <w:snapToGrid w:val="0"/>
                <w:color w:val="000000"/>
                <w:spacing w:val="-4"/>
                <w:kern w:val="0"/>
                <w:sz w:val="24"/>
                <w:szCs w:val="24"/>
                <w:lang w:val="en-US" w:eastAsia="zh-CN" w:bidi="ar-SA"/>
              </w:rPr>
            </w:pPr>
            <w:r>
              <w:rPr>
                <w:rFonts w:hint="eastAsia" w:ascii="仿宋" w:hAnsi="仿宋" w:eastAsia="仿宋" w:cs="仿宋"/>
                <w:snapToGrid w:val="0"/>
                <w:color w:val="000000"/>
                <w:spacing w:val="-4"/>
                <w:kern w:val="0"/>
                <w:sz w:val="24"/>
              </w:rPr>
              <w:t>蒋航</w:t>
            </w:r>
          </w:p>
        </w:tc>
        <w:tc>
          <w:tcPr>
            <w:tcW w:w="2276" w:type="dxa"/>
            <w:shd w:val="clear"/>
            <w:vAlign w:val="center"/>
          </w:tcPr>
          <w:p w14:paraId="0D563C7C">
            <w:pPr>
              <w:keepNext/>
              <w:snapToGrid w:val="0"/>
              <w:spacing w:line="340" w:lineRule="atLeast"/>
              <w:jc w:val="center"/>
              <w:rPr>
                <w:rFonts w:hint="eastAsia" w:ascii="仿宋" w:hAnsi="仿宋" w:eastAsia="仿宋" w:cs="仿宋"/>
                <w:snapToGrid w:val="0"/>
                <w:color w:val="000000"/>
                <w:spacing w:val="-4"/>
                <w:kern w:val="0"/>
                <w:sz w:val="24"/>
                <w:szCs w:val="24"/>
                <w:lang w:val="en-US" w:eastAsia="zh-CN" w:bidi="ar-SA"/>
              </w:rPr>
            </w:pPr>
            <w:r>
              <w:rPr>
                <w:rFonts w:hint="eastAsia" w:ascii="仿宋" w:hAnsi="仿宋" w:eastAsia="仿宋" w:cs="仿宋"/>
                <w:snapToGrid w:val="0"/>
                <w:color w:val="000000"/>
                <w:spacing w:val="-4"/>
                <w:kern w:val="0"/>
                <w:sz w:val="24"/>
                <w:lang w:eastAsia="zh-CN"/>
              </w:rPr>
              <w:t>所有权</w:t>
            </w:r>
            <w:r>
              <w:rPr>
                <w:rFonts w:hint="eastAsia" w:ascii="仿宋" w:hAnsi="仿宋" w:eastAsia="仿宋" w:cs="仿宋"/>
                <w:snapToGrid w:val="0"/>
                <w:color w:val="000000"/>
                <w:spacing w:val="-4"/>
                <w:kern w:val="0"/>
                <w:sz w:val="24"/>
              </w:rPr>
              <w:t>（</w:t>
            </w:r>
            <w:r>
              <w:rPr>
                <w:rFonts w:hint="eastAsia" w:ascii="仿宋" w:hAnsi="仿宋" w:eastAsia="仿宋" w:cs="仿宋"/>
                <w:snapToGrid w:val="0"/>
                <w:color w:val="000000"/>
                <w:spacing w:val="-4"/>
                <w:kern w:val="0"/>
                <w:sz w:val="24"/>
                <w:lang w:eastAsia="zh-CN"/>
              </w:rPr>
              <w:t>学校</w:t>
            </w:r>
            <w:r>
              <w:rPr>
                <w:rFonts w:hint="eastAsia" w:ascii="仿宋" w:hAnsi="仿宋" w:eastAsia="仿宋" w:cs="仿宋"/>
                <w:snapToGrid w:val="0"/>
                <w:color w:val="000000"/>
                <w:spacing w:val="-4"/>
                <w:kern w:val="0"/>
                <w:sz w:val="24"/>
                <w:lang w:val="en-US" w:eastAsia="zh-CN"/>
              </w:rPr>
              <w:t>10%，完成人团队90%</w:t>
            </w:r>
            <w:r>
              <w:rPr>
                <w:rFonts w:hint="eastAsia" w:ascii="仿宋" w:hAnsi="仿宋" w:eastAsia="仿宋" w:cs="仿宋"/>
                <w:snapToGrid w:val="0"/>
                <w:color w:val="000000"/>
                <w:spacing w:val="-4"/>
                <w:kern w:val="0"/>
                <w:sz w:val="24"/>
              </w:rPr>
              <w:t>）</w:t>
            </w:r>
          </w:p>
        </w:tc>
        <w:tc>
          <w:tcPr>
            <w:tcW w:w="1207" w:type="dxa"/>
            <w:shd w:val="clear"/>
            <w:vAlign w:val="center"/>
          </w:tcPr>
          <w:p w14:paraId="2707A51D">
            <w:pPr>
              <w:keepNext/>
              <w:spacing w:line="340" w:lineRule="atLeast"/>
              <w:jc w:val="center"/>
              <w:rPr>
                <w:rFonts w:hint="eastAsia" w:ascii="仿宋" w:hAnsi="仿宋" w:eastAsia="仿宋" w:cs="仿宋"/>
                <w:kern w:val="2"/>
                <w:sz w:val="24"/>
                <w:szCs w:val="24"/>
                <w:lang w:val="en-US" w:eastAsia="zh-CN" w:bidi="ar-SA"/>
              </w:rPr>
            </w:pPr>
            <w:r>
              <w:rPr>
                <w:rFonts w:hint="eastAsia" w:ascii="仿宋" w:hAnsi="仿宋" w:eastAsia="仿宋" w:cs="仿宋"/>
                <w:sz w:val="24"/>
              </w:rPr>
              <w:t>技术</w:t>
            </w:r>
            <w:r>
              <w:rPr>
                <w:rFonts w:hint="eastAsia" w:ascii="仿宋" w:hAnsi="仿宋" w:eastAsia="仿宋" w:cs="仿宋"/>
                <w:sz w:val="24"/>
                <w:lang w:eastAsia="zh-CN"/>
              </w:rPr>
              <w:t>转让</w:t>
            </w:r>
          </w:p>
        </w:tc>
        <w:tc>
          <w:tcPr>
            <w:tcW w:w="1371" w:type="dxa"/>
            <w:shd w:val="clear"/>
            <w:vAlign w:val="center"/>
          </w:tcPr>
          <w:p w14:paraId="23F8C00E">
            <w:pPr>
              <w:keepNext/>
              <w:spacing w:line="340" w:lineRule="atLeast"/>
              <w:jc w:val="center"/>
              <w:rPr>
                <w:rFonts w:ascii="仿宋" w:hAnsi="仿宋" w:eastAsia="仿宋" w:cs="仿宋"/>
                <w:kern w:val="2"/>
                <w:sz w:val="24"/>
                <w:szCs w:val="24"/>
                <w:lang w:val="en-US" w:eastAsia="zh-CN" w:bidi="ar-SA"/>
              </w:rPr>
            </w:pPr>
            <w:r>
              <w:rPr>
                <w:rFonts w:hint="eastAsia" w:ascii="仿宋" w:hAnsi="仿宋" w:eastAsia="仿宋" w:cs="仿宋"/>
                <w:sz w:val="24"/>
              </w:rPr>
              <w:t>3.2</w:t>
            </w:r>
          </w:p>
        </w:tc>
        <w:tc>
          <w:tcPr>
            <w:tcW w:w="1285" w:type="dxa"/>
            <w:shd w:val="clear"/>
            <w:vAlign w:val="center"/>
          </w:tcPr>
          <w:p w14:paraId="630CD4FA">
            <w:pPr>
              <w:keepNext/>
              <w:spacing w:line="340" w:lineRule="atLeast"/>
              <w:jc w:val="center"/>
              <w:rPr>
                <w:rFonts w:hint="eastAsia" w:ascii="仿宋" w:hAnsi="仿宋" w:eastAsia="仿宋" w:cs="仿宋"/>
                <w:snapToGrid w:val="0"/>
                <w:color w:val="000000"/>
                <w:spacing w:val="-3"/>
                <w:kern w:val="0"/>
                <w:sz w:val="24"/>
                <w:szCs w:val="24"/>
                <w:lang w:val="en-US" w:eastAsia="zh-CN" w:bidi="ar-SA"/>
              </w:rPr>
            </w:pPr>
            <w:r>
              <w:rPr>
                <w:rFonts w:hint="eastAsia" w:ascii="仿宋" w:hAnsi="仿宋" w:eastAsia="仿宋" w:cs="仿宋"/>
                <w:snapToGrid w:val="0"/>
                <w:color w:val="000000"/>
                <w:spacing w:val="-3"/>
                <w:kern w:val="0"/>
                <w:sz w:val="24"/>
              </w:rPr>
              <w:t>湖南好风科技有限公司</w:t>
            </w:r>
          </w:p>
        </w:tc>
        <w:tc>
          <w:tcPr>
            <w:tcW w:w="786" w:type="dxa"/>
            <w:vAlign w:val="center"/>
          </w:tcPr>
          <w:p w14:paraId="0E819E2E">
            <w:pPr>
              <w:spacing w:line="340" w:lineRule="atLeast"/>
              <w:jc w:val="center"/>
              <w:rPr>
                <w:rFonts w:ascii="仿宋" w:hAnsi="仿宋" w:eastAsia="仿宋" w:cs="仿宋"/>
                <w:sz w:val="28"/>
                <w:szCs w:val="28"/>
              </w:rPr>
            </w:pPr>
          </w:p>
        </w:tc>
      </w:tr>
      <w:tr w14:paraId="7E4462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39" w:hRule="atLeast"/>
        </w:trPr>
        <w:tc>
          <w:tcPr>
            <w:tcW w:w="544" w:type="dxa"/>
            <w:vAlign w:val="center"/>
          </w:tcPr>
          <w:p w14:paraId="2674DEA2">
            <w:pPr>
              <w:snapToGrid w:val="0"/>
              <w:spacing w:line="340" w:lineRule="atLeast"/>
              <w:jc w:val="center"/>
              <w:rPr>
                <w:rFonts w:hint="eastAsia" w:ascii="黑体" w:hAnsi="黑体" w:eastAsia="黑体" w:cs="黑体"/>
                <w:sz w:val="24"/>
                <w:lang w:val="en-US" w:eastAsia="zh-CN"/>
              </w:rPr>
            </w:pPr>
            <w:r>
              <w:rPr>
                <w:rFonts w:hint="eastAsia" w:ascii="黑体" w:hAnsi="黑体" w:eastAsia="黑体" w:cs="黑体"/>
                <w:sz w:val="24"/>
                <w:lang w:val="en-US" w:eastAsia="zh-CN"/>
              </w:rPr>
              <w:t>2</w:t>
            </w:r>
          </w:p>
        </w:tc>
        <w:tc>
          <w:tcPr>
            <w:tcW w:w="2279" w:type="dxa"/>
            <w:vAlign w:val="center"/>
          </w:tcPr>
          <w:p w14:paraId="6C8DA81E">
            <w:pPr>
              <w:snapToGrid w:val="0"/>
              <w:spacing w:line="340" w:lineRule="atLeast"/>
              <w:jc w:val="center"/>
              <w:rPr>
                <w:rFonts w:ascii="仿宋" w:hAnsi="仿宋" w:eastAsia="仿宋" w:cs="仿宋"/>
                <w:snapToGrid w:val="0"/>
                <w:color w:val="000000"/>
                <w:spacing w:val="-4"/>
                <w:kern w:val="0"/>
                <w:sz w:val="24"/>
              </w:rPr>
            </w:pPr>
            <w:r>
              <w:rPr>
                <w:rFonts w:hint="eastAsia"/>
              </w:rPr>
              <w:t>一种过渡金属硫化物Cu</w:t>
            </w:r>
            <w:r>
              <w:rPr>
                <w:rFonts w:hint="eastAsia"/>
                <w:vertAlign w:val="subscript"/>
              </w:rPr>
              <w:t>x</w:t>
            </w:r>
            <w:r>
              <w:rPr>
                <w:rFonts w:hint="eastAsia"/>
              </w:rPr>
              <w:t>S/Co</w:t>
            </w:r>
            <w:r>
              <w:rPr>
                <w:rFonts w:hint="eastAsia"/>
                <w:vertAlign w:val="subscript"/>
              </w:rPr>
              <w:t>9</w:t>
            </w:r>
            <w:r>
              <w:rPr>
                <w:rFonts w:hint="eastAsia"/>
              </w:rPr>
              <w:t>S</w:t>
            </w:r>
            <w:r>
              <w:rPr>
                <w:rFonts w:hint="eastAsia"/>
                <w:vertAlign w:val="subscript"/>
              </w:rPr>
              <w:t>8</w:t>
            </w:r>
            <w:r>
              <w:rPr>
                <w:rFonts w:hint="eastAsia"/>
              </w:rPr>
              <w:t>异质结电解水催化剂及其制备方法和应用</w:t>
            </w:r>
          </w:p>
        </w:tc>
        <w:tc>
          <w:tcPr>
            <w:tcW w:w="2530" w:type="dxa"/>
            <w:vAlign w:val="center"/>
          </w:tcPr>
          <w:p w14:paraId="11777ABE">
            <w:pPr>
              <w:snapToGrid w:val="0"/>
              <w:spacing w:line="340" w:lineRule="atLeast"/>
              <w:jc w:val="center"/>
              <w:rPr>
                <w:rFonts w:ascii="仿宋" w:hAnsi="仿宋" w:eastAsia="仿宋" w:cs="仿宋"/>
                <w:snapToGrid w:val="0"/>
                <w:color w:val="000000"/>
                <w:spacing w:val="-4"/>
                <w:kern w:val="0"/>
                <w:sz w:val="24"/>
              </w:rPr>
            </w:pPr>
            <w:r>
              <w:rPr>
                <w:rFonts w:hint="eastAsia" w:ascii="仿宋" w:hAnsi="仿宋" w:eastAsia="仿宋" w:cs="仿宋"/>
                <w:bCs/>
                <w:snapToGrid w:val="0"/>
                <w:color w:val="000000"/>
                <w:spacing w:val="-4"/>
                <w:kern w:val="0"/>
                <w:sz w:val="24"/>
              </w:rPr>
              <w:t>本发明属于电解水与新能源技术领域,涉及电解水催化剂的制备,具体涉及一种过渡金属硫化物</w:t>
            </w:r>
            <w:bookmarkStart w:id="0" w:name="OLE_LINK8"/>
            <w:r>
              <w:rPr>
                <w:rFonts w:hint="eastAsia" w:ascii="仿宋" w:hAnsi="仿宋" w:eastAsia="仿宋" w:cs="仿宋"/>
                <w:bCs/>
                <w:snapToGrid w:val="0"/>
                <w:color w:val="000000"/>
                <w:spacing w:val="-4"/>
                <w:kern w:val="0"/>
                <w:sz w:val="24"/>
              </w:rPr>
              <w:t>Cu</w:t>
            </w:r>
            <w:r>
              <w:rPr>
                <w:rFonts w:hint="eastAsia" w:ascii="仿宋" w:hAnsi="仿宋" w:eastAsia="仿宋" w:cs="仿宋"/>
                <w:bCs/>
                <w:snapToGrid w:val="0"/>
                <w:color w:val="000000"/>
                <w:spacing w:val="-4"/>
                <w:kern w:val="0"/>
                <w:sz w:val="24"/>
                <w:vertAlign w:val="subscript"/>
              </w:rPr>
              <w:t>x</w:t>
            </w:r>
            <w:r>
              <w:rPr>
                <w:rFonts w:hint="eastAsia" w:ascii="仿宋" w:hAnsi="仿宋" w:eastAsia="仿宋" w:cs="仿宋"/>
                <w:bCs/>
                <w:snapToGrid w:val="0"/>
                <w:color w:val="000000"/>
                <w:spacing w:val="-4"/>
                <w:kern w:val="0"/>
                <w:sz w:val="24"/>
              </w:rPr>
              <w:t>S/Co</w:t>
            </w:r>
            <w:r>
              <w:rPr>
                <w:rFonts w:hint="eastAsia" w:ascii="仿宋" w:hAnsi="仿宋" w:eastAsia="仿宋" w:cs="仿宋"/>
                <w:bCs/>
                <w:snapToGrid w:val="0"/>
                <w:color w:val="000000"/>
                <w:spacing w:val="-4"/>
                <w:kern w:val="0"/>
                <w:sz w:val="24"/>
                <w:vertAlign w:val="subscript"/>
              </w:rPr>
              <w:t>9</w:t>
            </w:r>
            <w:r>
              <w:rPr>
                <w:rFonts w:hint="eastAsia" w:ascii="仿宋" w:hAnsi="仿宋" w:eastAsia="仿宋" w:cs="仿宋"/>
                <w:bCs/>
                <w:snapToGrid w:val="0"/>
                <w:color w:val="000000"/>
                <w:spacing w:val="-4"/>
                <w:kern w:val="0"/>
                <w:sz w:val="24"/>
              </w:rPr>
              <w:t>S</w:t>
            </w:r>
            <w:r>
              <w:rPr>
                <w:rFonts w:hint="eastAsia" w:ascii="仿宋" w:hAnsi="仿宋" w:eastAsia="仿宋" w:cs="仿宋"/>
                <w:bCs/>
                <w:snapToGrid w:val="0"/>
                <w:color w:val="000000"/>
                <w:spacing w:val="-4"/>
                <w:kern w:val="0"/>
                <w:sz w:val="24"/>
                <w:vertAlign w:val="subscript"/>
              </w:rPr>
              <w:t>8</w:t>
            </w:r>
            <w:bookmarkEnd w:id="0"/>
            <w:r>
              <w:rPr>
                <w:rFonts w:hint="eastAsia" w:ascii="仿宋" w:hAnsi="仿宋" w:eastAsia="仿宋" w:cs="仿宋"/>
                <w:bCs/>
                <w:snapToGrid w:val="0"/>
                <w:color w:val="000000"/>
                <w:spacing w:val="-4"/>
                <w:kern w:val="0"/>
                <w:sz w:val="24"/>
              </w:rPr>
              <w:t>异质结电解水催化剂及其制备方法和应用。制备步骤如下：(1)将铜源、钴源和硫源分散在混合溶剂中搅拌,得混合溶液；(2)将步骤(1)所得的混合溶液超声后在高压反应釜反应,降温后离心、洗涤、干燥,得初始催化剂粉末；(3)将步骤(2)所得的初始催化剂粉末在混合气体中反应,得过渡金属硫化物 Cu</w:t>
            </w:r>
            <w:r>
              <w:rPr>
                <w:rFonts w:hint="eastAsia" w:ascii="仿宋" w:hAnsi="仿宋" w:eastAsia="仿宋" w:cs="仿宋"/>
                <w:bCs/>
                <w:snapToGrid w:val="0"/>
                <w:color w:val="000000"/>
                <w:spacing w:val="-4"/>
                <w:kern w:val="0"/>
                <w:sz w:val="24"/>
                <w:vertAlign w:val="subscript"/>
              </w:rPr>
              <w:t>x</w:t>
            </w:r>
            <w:r>
              <w:rPr>
                <w:rFonts w:hint="eastAsia" w:ascii="仿宋" w:hAnsi="仿宋" w:eastAsia="仿宋" w:cs="仿宋"/>
                <w:bCs/>
                <w:snapToGrid w:val="0"/>
                <w:color w:val="000000"/>
                <w:spacing w:val="-4"/>
                <w:kern w:val="0"/>
                <w:sz w:val="24"/>
              </w:rPr>
              <w:t>S/Co</w:t>
            </w:r>
            <w:r>
              <w:rPr>
                <w:rFonts w:hint="eastAsia" w:ascii="仿宋" w:hAnsi="仿宋" w:eastAsia="仿宋" w:cs="仿宋"/>
                <w:bCs/>
                <w:snapToGrid w:val="0"/>
                <w:color w:val="000000"/>
                <w:spacing w:val="-4"/>
                <w:kern w:val="0"/>
                <w:sz w:val="24"/>
                <w:vertAlign w:val="subscript"/>
              </w:rPr>
              <w:t>9</w:t>
            </w:r>
            <w:r>
              <w:rPr>
                <w:rFonts w:hint="eastAsia" w:ascii="仿宋" w:hAnsi="仿宋" w:eastAsia="仿宋" w:cs="仿宋"/>
                <w:bCs/>
                <w:snapToGrid w:val="0"/>
                <w:color w:val="000000"/>
                <w:spacing w:val="-4"/>
                <w:kern w:val="0"/>
                <w:sz w:val="24"/>
              </w:rPr>
              <w:t>S</w:t>
            </w:r>
            <w:r>
              <w:rPr>
                <w:rFonts w:hint="eastAsia" w:ascii="仿宋" w:hAnsi="仿宋" w:eastAsia="仿宋" w:cs="仿宋"/>
                <w:bCs/>
                <w:snapToGrid w:val="0"/>
                <w:color w:val="000000"/>
                <w:spacing w:val="-4"/>
                <w:kern w:val="0"/>
                <w:sz w:val="24"/>
                <w:vertAlign w:val="subscript"/>
              </w:rPr>
              <w:t>8</w:t>
            </w:r>
            <w:r>
              <w:rPr>
                <w:rFonts w:hint="eastAsia" w:ascii="仿宋" w:hAnsi="仿宋" w:eastAsia="仿宋" w:cs="仿宋"/>
                <w:bCs/>
                <w:snapToGrid w:val="0"/>
                <w:color w:val="000000"/>
                <w:spacing w:val="-4"/>
                <w:kern w:val="0"/>
                <w:sz w:val="24"/>
              </w:rPr>
              <w:t>异质结电解水催化剂。本发明通过调控微观缺陷浓度提高催化活性,制备过程简单、产量高、成本低、催化性能优异。在析氢析氧反应中具有较低过电位,在稳定性测试中能保持100h,表现出优良的电化学稳定性。</w:t>
            </w:r>
          </w:p>
        </w:tc>
        <w:tc>
          <w:tcPr>
            <w:tcW w:w="1559" w:type="dxa"/>
            <w:vAlign w:val="center"/>
          </w:tcPr>
          <w:p w14:paraId="615F6208">
            <w:pPr>
              <w:snapToGrid w:val="0"/>
              <w:spacing w:line="340" w:lineRule="atLeast"/>
              <w:jc w:val="center"/>
              <w:rPr>
                <w:rFonts w:ascii="仿宋" w:hAnsi="仿宋" w:eastAsia="仿宋" w:cs="仿宋"/>
                <w:snapToGrid w:val="0"/>
                <w:color w:val="000000"/>
                <w:spacing w:val="-4"/>
                <w:kern w:val="0"/>
                <w:sz w:val="24"/>
              </w:rPr>
            </w:pPr>
            <w:r>
              <w:rPr>
                <w:rFonts w:hint="eastAsia" w:ascii="仿宋" w:hAnsi="仿宋" w:eastAsia="仿宋" w:cs="仿宋"/>
                <w:snapToGrid w:val="0"/>
                <w:color w:val="000000"/>
                <w:spacing w:val="-4"/>
                <w:kern w:val="0"/>
                <w:sz w:val="24"/>
              </w:rPr>
              <w:t>肖元化</w:t>
            </w:r>
          </w:p>
          <w:p w14:paraId="602D7AAB">
            <w:pPr>
              <w:snapToGrid w:val="0"/>
              <w:spacing w:line="340" w:lineRule="atLeast"/>
              <w:jc w:val="center"/>
              <w:rPr>
                <w:rFonts w:ascii="仿宋" w:hAnsi="仿宋" w:eastAsia="仿宋" w:cs="仿宋"/>
                <w:snapToGrid w:val="0"/>
                <w:color w:val="000000"/>
                <w:spacing w:val="-4"/>
                <w:kern w:val="0"/>
                <w:sz w:val="24"/>
              </w:rPr>
            </w:pPr>
            <w:r>
              <w:rPr>
                <w:rFonts w:hint="eastAsia" w:ascii="仿宋" w:hAnsi="仿宋" w:eastAsia="仿宋" w:cs="仿宋"/>
                <w:snapToGrid w:val="0"/>
                <w:color w:val="000000"/>
                <w:spacing w:val="-4"/>
                <w:kern w:val="0"/>
                <w:sz w:val="24"/>
              </w:rPr>
              <w:t>方少明</w:t>
            </w:r>
          </w:p>
          <w:p w14:paraId="0684A46B">
            <w:pPr>
              <w:snapToGrid w:val="0"/>
              <w:spacing w:line="340" w:lineRule="atLeast"/>
              <w:jc w:val="center"/>
              <w:rPr>
                <w:rFonts w:ascii="仿宋" w:hAnsi="仿宋" w:eastAsia="仿宋" w:cs="仿宋"/>
                <w:snapToGrid w:val="0"/>
                <w:color w:val="000000"/>
                <w:spacing w:val="-4"/>
                <w:kern w:val="0"/>
                <w:sz w:val="24"/>
              </w:rPr>
            </w:pPr>
            <w:r>
              <w:rPr>
                <w:rFonts w:hint="eastAsia" w:ascii="仿宋" w:hAnsi="仿宋" w:eastAsia="仿宋" w:cs="仿宋"/>
                <w:snapToGrid w:val="0"/>
                <w:color w:val="000000"/>
                <w:spacing w:val="-4"/>
                <w:kern w:val="0"/>
                <w:sz w:val="24"/>
              </w:rPr>
              <w:t>申丫</w:t>
            </w:r>
          </w:p>
          <w:p w14:paraId="753418F6">
            <w:pPr>
              <w:snapToGrid w:val="0"/>
              <w:spacing w:line="340" w:lineRule="atLeast"/>
              <w:jc w:val="center"/>
              <w:rPr>
                <w:rFonts w:ascii="仿宋" w:hAnsi="仿宋" w:eastAsia="仿宋" w:cs="仿宋"/>
                <w:snapToGrid w:val="0"/>
                <w:color w:val="000000"/>
                <w:spacing w:val="-4"/>
                <w:kern w:val="0"/>
                <w:sz w:val="24"/>
              </w:rPr>
            </w:pPr>
            <w:r>
              <w:rPr>
                <w:rFonts w:hint="eastAsia" w:ascii="仿宋" w:hAnsi="仿宋" w:eastAsia="仿宋" w:cs="仿宋"/>
                <w:snapToGrid w:val="0"/>
                <w:color w:val="000000"/>
                <w:spacing w:val="-4"/>
                <w:kern w:val="0"/>
                <w:sz w:val="24"/>
              </w:rPr>
              <w:t>王雪兆</w:t>
            </w:r>
          </w:p>
          <w:p w14:paraId="6D80BF4A">
            <w:pPr>
              <w:snapToGrid w:val="0"/>
              <w:spacing w:line="340" w:lineRule="atLeast"/>
              <w:jc w:val="center"/>
              <w:rPr>
                <w:rFonts w:ascii="仿宋" w:hAnsi="仿宋" w:eastAsia="仿宋" w:cs="仿宋"/>
                <w:snapToGrid w:val="0"/>
                <w:color w:val="000000"/>
                <w:spacing w:val="-4"/>
                <w:kern w:val="0"/>
                <w:sz w:val="24"/>
              </w:rPr>
            </w:pPr>
            <w:r>
              <w:rPr>
                <w:rFonts w:hint="eastAsia" w:ascii="仿宋" w:hAnsi="仿宋" w:eastAsia="仿宋" w:cs="仿宋"/>
                <w:snapToGrid w:val="0"/>
                <w:color w:val="000000"/>
                <w:spacing w:val="-4"/>
                <w:kern w:val="0"/>
                <w:sz w:val="24"/>
              </w:rPr>
              <w:t>周军</w:t>
            </w:r>
          </w:p>
          <w:p w14:paraId="0EFBCE4E">
            <w:pPr>
              <w:snapToGrid w:val="0"/>
              <w:spacing w:line="340" w:lineRule="atLeast"/>
              <w:jc w:val="center"/>
              <w:rPr>
                <w:rFonts w:ascii="仿宋" w:hAnsi="仿宋" w:eastAsia="仿宋" w:cs="仿宋"/>
                <w:snapToGrid w:val="0"/>
                <w:color w:val="000000"/>
                <w:spacing w:val="-4"/>
                <w:kern w:val="0"/>
                <w:sz w:val="24"/>
              </w:rPr>
            </w:pPr>
            <w:r>
              <w:rPr>
                <w:rFonts w:hint="eastAsia" w:ascii="仿宋" w:hAnsi="仿宋" w:eastAsia="仿宋" w:cs="仿宋"/>
                <w:snapToGrid w:val="0"/>
                <w:color w:val="000000"/>
                <w:spacing w:val="-4"/>
                <w:kern w:val="0"/>
                <w:sz w:val="24"/>
              </w:rPr>
              <w:t>苏当成</w:t>
            </w:r>
          </w:p>
          <w:p w14:paraId="0531DD29">
            <w:pPr>
              <w:snapToGrid w:val="0"/>
              <w:spacing w:line="340" w:lineRule="atLeast"/>
              <w:jc w:val="center"/>
              <w:rPr>
                <w:rFonts w:ascii="仿宋" w:hAnsi="仿宋" w:eastAsia="仿宋" w:cs="仿宋"/>
                <w:snapToGrid w:val="0"/>
                <w:color w:val="000000"/>
                <w:spacing w:val="-4"/>
                <w:kern w:val="0"/>
                <w:sz w:val="24"/>
              </w:rPr>
            </w:pPr>
            <w:r>
              <w:rPr>
                <w:rFonts w:hint="eastAsia" w:ascii="仿宋" w:hAnsi="仿宋" w:eastAsia="仿宋" w:cs="仿宋"/>
                <w:snapToGrid w:val="0"/>
                <w:color w:val="000000"/>
                <w:spacing w:val="-4"/>
                <w:kern w:val="0"/>
                <w:sz w:val="24"/>
              </w:rPr>
              <w:t>吕文迪</w:t>
            </w:r>
          </w:p>
          <w:p w14:paraId="04AEAB98">
            <w:pPr>
              <w:snapToGrid w:val="0"/>
              <w:spacing w:line="340" w:lineRule="atLeast"/>
              <w:jc w:val="center"/>
              <w:rPr>
                <w:rFonts w:ascii="仿宋" w:hAnsi="仿宋" w:eastAsia="仿宋" w:cs="仿宋"/>
                <w:snapToGrid w:val="0"/>
                <w:color w:val="000000"/>
                <w:spacing w:val="-4"/>
                <w:kern w:val="0"/>
                <w:sz w:val="24"/>
              </w:rPr>
            </w:pPr>
            <w:r>
              <w:rPr>
                <w:rFonts w:hint="eastAsia" w:ascii="仿宋" w:hAnsi="仿宋" w:eastAsia="仿宋" w:cs="仿宋"/>
                <w:snapToGrid w:val="0"/>
                <w:color w:val="000000"/>
                <w:spacing w:val="-4"/>
                <w:kern w:val="0"/>
                <w:sz w:val="24"/>
              </w:rPr>
              <w:t>岳枫</w:t>
            </w:r>
          </w:p>
          <w:p w14:paraId="27776F38">
            <w:pPr>
              <w:snapToGrid w:val="0"/>
              <w:spacing w:line="340" w:lineRule="atLeast"/>
              <w:jc w:val="center"/>
              <w:rPr>
                <w:rFonts w:ascii="仿宋" w:hAnsi="仿宋" w:eastAsia="仿宋" w:cs="仿宋"/>
                <w:snapToGrid w:val="0"/>
                <w:color w:val="000000"/>
                <w:spacing w:val="-4"/>
                <w:kern w:val="0"/>
                <w:sz w:val="24"/>
              </w:rPr>
            </w:pPr>
            <w:r>
              <w:rPr>
                <w:rFonts w:hint="eastAsia" w:ascii="仿宋" w:hAnsi="仿宋" w:eastAsia="仿宋" w:cs="仿宋"/>
                <w:snapToGrid w:val="0"/>
                <w:color w:val="000000"/>
                <w:spacing w:val="-4"/>
                <w:kern w:val="0"/>
                <w:sz w:val="24"/>
              </w:rPr>
              <w:t>温子晴</w:t>
            </w:r>
          </w:p>
          <w:p w14:paraId="1BC42AB3">
            <w:pPr>
              <w:snapToGrid w:val="0"/>
              <w:spacing w:line="340" w:lineRule="atLeast"/>
              <w:jc w:val="center"/>
              <w:rPr>
                <w:rFonts w:ascii="仿宋" w:hAnsi="仿宋" w:eastAsia="仿宋" w:cs="仿宋"/>
                <w:snapToGrid w:val="0"/>
                <w:color w:val="000000"/>
                <w:spacing w:val="-4"/>
                <w:kern w:val="0"/>
                <w:sz w:val="24"/>
              </w:rPr>
            </w:pPr>
            <w:r>
              <w:rPr>
                <w:rFonts w:hint="eastAsia" w:ascii="仿宋" w:hAnsi="仿宋" w:eastAsia="仿宋" w:cs="仿宋"/>
                <w:snapToGrid w:val="0"/>
                <w:color w:val="000000"/>
                <w:spacing w:val="-4"/>
                <w:kern w:val="0"/>
                <w:sz w:val="24"/>
              </w:rPr>
              <w:t>孔阳</w:t>
            </w:r>
          </w:p>
          <w:p w14:paraId="59924E5B">
            <w:pPr>
              <w:snapToGrid w:val="0"/>
              <w:spacing w:line="340" w:lineRule="atLeast"/>
              <w:jc w:val="center"/>
              <w:rPr>
                <w:rFonts w:ascii="仿宋" w:hAnsi="仿宋" w:eastAsia="仿宋" w:cs="仿宋"/>
                <w:snapToGrid w:val="0"/>
                <w:color w:val="000000"/>
                <w:spacing w:val="-4"/>
                <w:kern w:val="0"/>
                <w:sz w:val="24"/>
              </w:rPr>
            </w:pPr>
            <w:r>
              <w:rPr>
                <w:rFonts w:hint="eastAsia" w:ascii="仿宋" w:hAnsi="仿宋" w:eastAsia="仿宋" w:cs="仿宋"/>
                <w:snapToGrid w:val="0"/>
                <w:color w:val="000000"/>
                <w:spacing w:val="-4"/>
                <w:kern w:val="0"/>
                <w:sz w:val="24"/>
              </w:rPr>
              <w:t>张士威</w:t>
            </w:r>
          </w:p>
          <w:p w14:paraId="2333061D">
            <w:pPr>
              <w:snapToGrid w:val="0"/>
              <w:spacing w:line="340" w:lineRule="atLeast"/>
              <w:jc w:val="center"/>
              <w:rPr>
                <w:rFonts w:ascii="仿宋" w:hAnsi="仿宋" w:eastAsia="仿宋" w:cs="仿宋"/>
                <w:snapToGrid w:val="0"/>
                <w:color w:val="000000"/>
                <w:spacing w:val="-4"/>
                <w:kern w:val="0"/>
                <w:sz w:val="24"/>
              </w:rPr>
            </w:pPr>
            <w:r>
              <w:rPr>
                <w:rFonts w:hint="eastAsia" w:ascii="仿宋" w:hAnsi="仿宋" w:eastAsia="仿宋" w:cs="仿宋"/>
                <w:snapToGrid w:val="0"/>
                <w:color w:val="000000"/>
                <w:spacing w:val="-4"/>
                <w:kern w:val="0"/>
                <w:sz w:val="24"/>
              </w:rPr>
              <w:t>蒋航</w:t>
            </w:r>
          </w:p>
        </w:tc>
        <w:tc>
          <w:tcPr>
            <w:tcW w:w="2276" w:type="dxa"/>
            <w:vAlign w:val="center"/>
          </w:tcPr>
          <w:p w14:paraId="777E5488">
            <w:pPr>
              <w:snapToGrid w:val="0"/>
              <w:spacing w:line="340" w:lineRule="atLeast"/>
              <w:jc w:val="center"/>
              <w:rPr>
                <w:rFonts w:ascii="仿宋" w:hAnsi="仿宋" w:eastAsia="仿宋" w:cs="仿宋"/>
                <w:snapToGrid w:val="0"/>
                <w:color w:val="000000"/>
                <w:spacing w:val="-4"/>
                <w:kern w:val="0"/>
                <w:sz w:val="24"/>
              </w:rPr>
            </w:pPr>
            <w:r>
              <w:rPr>
                <w:rFonts w:hint="eastAsia" w:ascii="仿宋" w:hAnsi="仿宋" w:eastAsia="仿宋" w:cs="仿宋"/>
                <w:snapToGrid w:val="0"/>
                <w:color w:val="000000"/>
                <w:spacing w:val="-4"/>
                <w:kern w:val="0"/>
                <w:sz w:val="24"/>
                <w:lang w:eastAsia="zh-CN"/>
              </w:rPr>
              <w:t>所有权</w:t>
            </w:r>
            <w:r>
              <w:rPr>
                <w:rFonts w:hint="eastAsia" w:ascii="仿宋" w:hAnsi="仿宋" w:eastAsia="仿宋" w:cs="仿宋"/>
                <w:snapToGrid w:val="0"/>
                <w:color w:val="000000"/>
                <w:spacing w:val="-4"/>
                <w:kern w:val="0"/>
                <w:sz w:val="24"/>
              </w:rPr>
              <w:t>（</w:t>
            </w:r>
            <w:r>
              <w:rPr>
                <w:rFonts w:hint="eastAsia" w:ascii="仿宋" w:hAnsi="仿宋" w:eastAsia="仿宋" w:cs="仿宋"/>
                <w:snapToGrid w:val="0"/>
                <w:color w:val="000000"/>
                <w:spacing w:val="-4"/>
                <w:kern w:val="0"/>
                <w:sz w:val="24"/>
                <w:lang w:eastAsia="zh-CN"/>
              </w:rPr>
              <w:t>学校</w:t>
            </w:r>
            <w:r>
              <w:rPr>
                <w:rFonts w:hint="eastAsia" w:ascii="仿宋" w:hAnsi="仿宋" w:eastAsia="仿宋" w:cs="仿宋"/>
                <w:snapToGrid w:val="0"/>
                <w:color w:val="000000"/>
                <w:spacing w:val="-4"/>
                <w:kern w:val="0"/>
                <w:sz w:val="24"/>
                <w:lang w:val="en-US" w:eastAsia="zh-CN"/>
              </w:rPr>
              <w:t>10%，完成人团队90%</w:t>
            </w:r>
            <w:r>
              <w:rPr>
                <w:rFonts w:hint="eastAsia" w:ascii="仿宋" w:hAnsi="仿宋" w:eastAsia="仿宋" w:cs="仿宋"/>
                <w:snapToGrid w:val="0"/>
                <w:color w:val="000000"/>
                <w:spacing w:val="-4"/>
                <w:kern w:val="0"/>
                <w:sz w:val="24"/>
              </w:rPr>
              <w:t>）</w:t>
            </w:r>
            <w:bookmarkStart w:id="1" w:name="_GoBack"/>
            <w:bookmarkEnd w:id="1"/>
          </w:p>
        </w:tc>
        <w:tc>
          <w:tcPr>
            <w:tcW w:w="1207" w:type="dxa"/>
            <w:vAlign w:val="center"/>
          </w:tcPr>
          <w:p w14:paraId="447DE8FB">
            <w:pPr>
              <w:spacing w:line="340" w:lineRule="atLeast"/>
              <w:jc w:val="center"/>
              <w:rPr>
                <w:rFonts w:hint="eastAsia" w:ascii="仿宋" w:hAnsi="仿宋" w:eastAsia="仿宋" w:cs="仿宋"/>
                <w:sz w:val="24"/>
                <w:lang w:eastAsia="zh-CN"/>
              </w:rPr>
            </w:pPr>
            <w:r>
              <w:rPr>
                <w:rFonts w:hint="eastAsia" w:ascii="仿宋" w:hAnsi="仿宋" w:eastAsia="仿宋" w:cs="仿宋"/>
                <w:sz w:val="24"/>
              </w:rPr>
              <w:t>技术</w:t>
            </w:r>
            <w:r>
              <w:rPr>
                <w:rFonts w:hint="eastAsia" w:ascii="仿宋" w:hAnsi="仿宋" w:eastAsia="仿宋" w:cs="仿宋"/>
                <w:sz w:val="24"/>
                <w:lang w:eastAsia="zh-CN"/>
              </w:rPr>
              <w:t>转让</w:t>
            </w:r>
          </w:p>
        </w:tc>
        <w:tc>
          <w:tcPr>
            <w:tcW w:w="1371" w:type="dxa"/>
            <w:vAlign w:val="center"/>
          </w:tcPr>
          <w:p w14:paraId="2D5FBD87">
            <w:pPr>
              <w:spacing w:line="340" w:lineRule="atLeast"/>
              <w:jc w:val="center"/>
              <w:rPr>
                <w:rFonts w:ascii="仿宋" w:hAnsi="仿宋" w:eastAsia="仿宋" w:cs="仿宋"/>
                <w:sz w:val="24"/>
              </w:rPr>
            </w:pPr>
            <w:r>
              <w:rPr>
                <w:rFonts w:ascii="仿宋" w:hAnsi="仿宋" w:eastAsia="仿宋" w:cs="仿宋"/>
                <w:sz w:val="24"/>
              </w:rPr>
              <w:t>3.3</w:t>
            </w:r>
          </w:p>
        </w:tc>
        <w:tc>
          <w:tcPr>
            <w:tcW w:w="1285" w:type="dxa"/>
            <w:vAlign w:val="center"/>
          </w:tcPr>
          <w:p w14:paraId="4CF69D70">
            <w:pPr>
              <w:spacing w:line="340" w:lineRule="atLeast"/>
              <w:jc w:val="center"/>
              <w:rPr>
                <w:rFonts w:ascii="仿宋" w:hAnsi="仿宋" w:eastAsia="仿宋" w:cs="仿宋"/>
                <w:snapToGrid w:val="0"/>
                <w:color w:val="000000"/>
                <w:spacing w:val="-3"/>
                <w:kern w:val="0"/>
                <w:sz w:val="24"/>
              </w:rPr>
            </w:pPr>
            <w:r>
              <w:rPr>
                <w:rFonts w:hint="eastAsia" w:ascii="仿宋" w:hAnsi="仿宋" w:eastAsia="仿宋" w:cs="仿宋"/>
                <w:snapToGrid w:val="0"/>
                <w:color w:val="000000"/>
                <w:spacing w:val="-3"/>
                <w:kern w:val="0"/>
                <w:sz w:val="24"/>
              </w:rPr>
              <w:t>郑州众成彩印有限公司</w:t>
            </w:r>
          </w:p>
        </w:tc>
        <w:tc>
          <w:tcPr>
            <w:tcW w:w="786" w:type="dxa"/>
            <w:vAlign w:val="center"/>
          </w:tcPr>
          <w:p w14:paraId="2C02B0C6">
            <w:pPr>
              <w:spacing w:line="340" w:lineRule="atLeast"/>
              <w:jc w:val="center"/>
              <w:rPr>
                <w:rFonts w:ascii="仿宋" w:hAnsi="仿宋" w:eastAsia="仿宋" w:cs="仿宋"/>
                <w:sz w:val="28"/>
                <w:szCs w:val="28"/>
              </w:rPr>
            </w:pPr>
          </w:p>
        </w:tc>
      </w:tr>
    </w:tbl>
    <w:p w14:paraId="3B023ACB">
      <w:pPr>
        <w:jc w:val="center"/>
      </w:pPr>
    </w:p>
    <w:p w14:paraId="635EFB81"/>
    <w:p w14:paraId="4DE36C9D"/>
    <w:sectPr>
      <w:pgSz w:w="16838" w:h="11906" w:orient="landscape"/>
      <w:pgMar w:top="1800" w:right="1440" w:bottom="1800" w:left="144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简体">
    <w:altName w:val="微软雅黑"/>
    <w:panose1 w:val="00000000000000000000"/>
    <w:charset w:val="86"/>
    <w:family w:val="auto"/>
    <w:pitch w:val="default"/>
    <w:sig w:usb0="00000000" w:usb1="00000000" w:usb2="00000010" w:usb3="00000000" w:csb0="00040000" w:csb1="00000000"/>
  </w:font>
  <w:font w:name="微软雅黑">
    <w:panose1 w:val="020B0503020204020204"/>
    <w:charset w:val="86"/>
    <w:family w:val="auto"/>
    <w:pitch w:val="default"/>
    <w:sig w:usb0="80000287" w:usb1="280F3C52" w:usb2="00000016" w:usb3="00000000" w:csb0="0004001F" w:csb1="00000000"/>
  </w:font>
  <w:font w:name="仿宋">
    <w:panose1 w:val="02010609060101010101"/>
    <w:charset w:val="86"/>
    <w:family w:val="modern"/>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embedSystemFonts/>
  <w:bordersDoNotSurroundHeader w:val="1"/>
  <w:bordersDoNotSurroundFooter w:val="1"/>
  <w:documentProtection w:enforcement="0"/>
  <w:defaultTabStop w:val="420"/>
  <w:drawingGridVerticalSpacing w:val="156"/>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WQ1ZmM5M2NiYzViNjc4ZWU1ODNmMjFmYjE5YjlkNzIifQ=="/>
  </w:docVars>
  <w:rsids>
    <w:rsidRoot w:val="1308507D"/>
    <w:rsid w:val="002A42CA"/>
    <w:rsid w:val="004C6ECE"/>
    <w:rsid w:val="004D6FDB"/>
    <w:rsid w:val="005246DE"/>
    <w:rsid w:val="00657F45"/>
    <w:rsid w:val="00670477"/>
    <w:rsid w:val="007220D0"/>
    <w:rsid w:val="008F4601"/>
    <w:rsid w:val="00A57D18"/>
    <w:rsid w:val="00A6045F"/>
    <w:rsid w:val="00AF0AB6"/>
    <w:rsid w:val="00AF6BB6"/>
    <w:rsid w:val="00C32E68"/>
    <w:rsid w:val="00CE62E5"/>
    <w:rsid w:val="00D96A81"/>
    <w:rsid w:val="00E120A2"/>
    <w:rsid w:val="00E477C4"/>
    <w:rsid w:val="00E677E5"/>
    <w:rsid w:val="00F7241D"/>
    <w:rsid w:val="00FF5805"/>
    <w:rsid w:val="0F2B62DD"/>
    <w:rsid w:val="1308507D"/>
    <w:rsid w:val="415E2C8C"/>
    <w:rsid w:val="48AF41B9"/>
    <w:rsid w:val="50D852D8"/>
    <w:rsid w:val="58406388"/>
    <w:rsid w:val="7870237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4"/>
      <w:lang w:val="en-US" w:eastAsia="zh-CN" w:bidi="ar-SA"/>
    </w:rPr>
  </w:style>
  <w:style w:type="character" w:default="1" w:styleId="5">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7"/>
    <w:qFormat/>
    <w:uiPriority w:val="0"/>
    <w:pPr>
      <w:tabs>
        <w:tab w:val="center" w:pos="4153"/>
        <w:tab w:val="right" w:pos="8306"/>
      </w:tabs>
      <w:snapToGrid w:val="0"/>
      <w:jc w:val="left"/>
    </w:pPr>
    <w:rPr>
      <w:sz w:val="18"/>
      <w:szCs w:val="18"/>
    </w:rPr>
  </w:style>
  <w:style w:type="paragraph" w:styleId="3">
    <w:name w:val="header"/>
    <w:basedOn w:val="1"/>
    <w:link w:val="6"/>
    <w:qFormat/>
    <w:uiPriority w:val="0"/>
    <w:pPr>
      <w:pBdr>
        <w:bottom w:val="single" w:color="auto" w:sz="6" w:space="1"/>
      </w:pBdr>
      <w:tabs>
        <w:tab w:val="center" w:pos="4153"/>
        <w:tab w:val="right" w:pos="8306"/>
      </w:tabs>
      <w:snapToGrid w:val="0"/>
      <w:jc w:val="center"/>
    </w:pPr>
    <w:rPr>
      <w:sz w:val="18"/>
      <w:szCs w:val="18"/>
    </w:rPr>
  </w:style>
  <w:style w:type="character" w:customStyle="1" w:styleId="6">
    <w:name w:val="页眉 字符"/>
    <w:basedOn w:val="5"/>
    <w:link w:val="3"/>
    <w:qFormat/>
    <w:uiPriority w:val="0"/>
    <w:rPr>
      <w:rFonts w:ascii="Calibri" w:hAnsi="Calibri"/>
      <w:kern w:val="2"/>
      <w:sz w:val="18"/>
      <w:szCs w:val="18"/>
    </w:rPr>
  </w:style>
  <w:style w:type="character" w:customStyle="1" w:styleId="7">
    <w:name w:val="页脚 字符"/>
    <w:basedOn w:val="5"/>
    <w:link w:val="2"/>
    <w:qFormat/>
    <w:uiPriority w:val="0"/>
    <w:rPr>
      <w:rFonts w:ascii="Calibri" w:hAnsi="Calibri"/>
      <w:kern w:val="2"/>
      <w:sz w:val="18"/>
      <w:szCs w:val="18"/>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3</Pages>
  <Words>413</Words>
  <Characters>461</Characters>
  <Lines>4</Lines>
  <Paragraphs>1</Paragraphs>
  <TotalTime>2</TotalTime>
  <ScaleCrop>false</ScaleCrop>
  <LinksUpToDate>false</LinksUpToDate>
  <CharactersWithSpaces>533</CharactersWithSpaces>
  <Application>WPS Office_12.1.0.24034_F1E327BC-269C-435d-A152-05C5408002CA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2022-07-25T00:53:00Z</dcterms:created>
  <dc:creator>文档存本地丢失不负责</dc:creator>
  <cp:lastModifiedBy>鲍雅如</cp:lastModifiedBy>
  <cp:lastPrinted>2022-07-25T02:39:00Z</cp:lastPrinted>
  <dcterms:modified xsi:type="dcterms:W3CDTF">2026-01-23T08:28:56Z</dcterms:modified>
  <cp:revision>14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2052-12.1.0.24034</vt:lpwstr>
  </property>
  <property fmtid="{D5CDD505-2E9C-101B-9397-08002B2CF9AE}" pid="3" name="ICV">
    <vt:lpwstr>04E34C3E7BF5406E98A6D3A2BBB78A85_13</vt:lpwstr>
  </property>
  <property fmtid="{D5CDD505-2E9C-101B-9397-08002B2CF9AE}" pid="4" name="KSOTemplateDocerSaveRecord">
    <vt:lpwstr>eyJoZGlkIjoiNjRiMWNhNzcyYTNmZTkwZTQxMjQ2NTA4NDVmOGU4OGYiLCJ1c2VySWQiOiIzMDA5MzIwNzcifQ==</vt:lpwstr>
  </property>
</Properties>
</file>