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63" w:lineRule="auto"/>
        <w:rPr>
          <w:rFonts w:ascii="Arial"/>
          <w:sz w:val="21"/>
        </w:rPr>
      </w:pPr>
      <w:r/>
    </w:p>
    <w:p>
      <w:pPr>
        <w:spacing w:line="264" w:lineRule="auto"/>
        <w:rPr>
          <w:rFonts w:ascii="Arial"/>
          <w:sz w:val="21"/>
        </w:rPr>
      </w:pPr>
      <w:r/>
    </w:p>
    <w:p>
      <w:pPr>
        <w:pStyle w:val="BodyText"/>
        <w:spacing w:before="100" w:line="230" w:lineRule="auto"/>
        <w:rPr>
          <w:sz w:val="31"/>
          <w:szCs w:val="31"/>
        </w:rPr>
      </w:pPr>
      <w:r>
        <w:rPr>
          <w:sz w:val="31"/>
          <w:szCs w:val="31"/>
          <w:spacing w:val="-4"/>
        </w:rPr>
        <w:t>附件</w:t>
      </w:r>
      <w:r>
        <w:rPr>
          <w:sz w:val="31"/>
          <w:szCs w:val="31"/>
          <w:spacing w:val="-64"/>
        </w:rPr>
        <w:t xml:space="preserve"> </w:t>
      </w:r>
      <w:r>
        <w:rPr>
          <w:sz w:val="31"/>
          <w:szCs w:val="31"/>
          <w:spacing w:val="-4"/>
        </w:rPr>
        <w:t>2</w:t>
      </w:r>
    </w:p>
    <w:p>
      <w:pPr>
        <w:spacing w:line="278" w:lineRule="auto"/>
        <w:rPr>
          <w:rFonts w:ascii="Arial"/>
          <w:sz w:val="21"/>
        </w:rPr>
      </w:pPr>
      <w:r/>
    </w:p>
    <w:p>
      <w:pPr>
        <w:spacing w:line="279" w:lineRule="auto"/>
        <w:rPr>
          <w:rFonts w:ascii="Arial"/>
          <w:sz w:val="21"/>
        </w:rPr>
      </w:pPr>
      <w:r/>
    </w:p>
    <w:p>
      <w:pPr>
        <w:spacing w:line="279" w:lineRule="auto"/>
        <w:rPr>
          <w:rFonts w:ascii="Arial"/>
          <w:sz w:val="21"/>
        </w:rPr>
      </w:pPr>
      <w:r/>
    </w:p>
    <w:p>
      <w:pPr>
        <w:ind w:left="3534" w:right="1769" w:hanging="1778"/>
        <w:spacing w:before="156" w:line="244" w:lineRule="auto"/>
        <w:outlineLvl w:val="0"/>
        <w:rPr>
          <w:rFonts w:ascii="SimSun" w:hAnsi="SimSun" w:eastAsia="SimSun" w:cs="SimSun"/>
          <w:sz w:val="48"/>
          <w:szCs w:val="48"/>
        </w:rPr>
      </w:pPr>
      <w:r>
        <w:rPr>
          <w:rFonts w:ascii="SimSun" w:hAnsi="SimSun" w:eastAsia="SimSun" w:cs="SimSun"/>
          <w:sz w:val="48"/>
          <w:szCs w:val="48"/>
          <w:b/>
          <w:bCs/>
        </w:rPr>
        <w:t>XXX</w:t>
      </w:r>
      <w:r>
        <w:rPr>
          <w:rFonts w:ascii="SimSun" w:hAnsi="SimSun" w:eastAsia="SimSun" w:cs="SimSun"/>
          <w:sz w:val="48"/>
          <w:szCs w:val="48"/>
          <w:spacing w:val="-99"/>
        </w:rPr>
        <w:t xml:space="preserve"> </w:t>
      </w:r>
      <w:r>
        <w:rPr>
          <w:rFonts w:ascii="SimSun" w:hAnsi="SimSun" w:eastAsia="SimSun" w:cs="SimSun"/>
          <w:sz w:val="48"/>
          <w:szCs w:val="48"/>
          <w:b/>
          <w:bCs/>
          <w:spacing w:val="24"/>
        </w:rPr>
        <w:t>河南省校企研发中心</w:t>
      </w:r>
      <w:r>
        <w:rPr>
          <w:rFonts w:ascii="SimSun" w:hAnsi="SimSun" w:eastAsia="SimSun" w:cs="SimSun"/>
          <w:sz w:val="48"/>
          <w:szCs w:val="48"/>
          <w:b/>
          <w:bCs/>
          <w:spacing w:val="-10"/>
        </w:rPr>
        <w:t>建设规划</w:t>
      </w:r>
    </w:p>
    <w:p>
      <w:pPr>
        <w:pStyle w:val="BodyText"/>
        <w:ind w:left="3358"/>
        <w:spacing w:before="226" w:line="229" w:lineRule="auto"/>
        <w:rPr>
          <w:sz w:val="31"/>
          <w:szCs w:val="31"/>
        </w:rPr>
      </w:pPr>
      <w:r>
        <w:rPr>
          <w:sz w:val="31"/>
          <w:szCs w:val="31"/>
          <w:spacing w:val="2"/>
        </w:rPr>
        <w:t>2026</w:t>
      </w:r>
      <w:r>
        <w:rPr>
          <w:sz w:val="31"/>
          <w:szCs w:val="31"/>
          <w:spacing w:val="-53"/>
        </w:rPr>
        <w:t xml:space="preserve"> </w:t>
      </w:r>
      <w:r>
        <w:rPr>
          <w:sz w:val="31"/>
          <w:szCs w:val="31"/>
          <w:spacing w:val="2"/>
        </w:rPr>
        <w:t>年-2028</w:t>
      </w:r>
      <w:r>
        <w:rPr>
          <w:sz w:val="31"/>
          <w:szCs w:val="31"/>
          <w:spacing w:val="-62"/>
        </w:rPr>
        <w:t xml:space="preserve"> </w:t>
      </w:r>
      <w:r>
        <w:rPr>
          <w:sz w:val="31"/>
          <w:szCs w:val="31"/>
          <w:spacing w:val="2"/>
        </w:rPr>
        <w:t>年</w:t>
      </w:r>
    </w:p>
    <w:p>
      <w:pPr>
        <w:spacing w:line="284" w:lineRule="auto"/>
        <w:rPr>
          <w:rFonts w:ascii="Arial"/>
          <w:sz w:val="21"/>
        </w:rPr>
      </w:pPr>
      <w:r/>
    </w:p>
    <w:p>
      <w:pPr>
        <w:spacing w:line="285" w:lineRule="auto"/>
        <w:rPr>
          <w:rFonts w:ascii="Arial"/>
          <w:sz w:val="21"/>
        </w:rPr>
      </w:pPr>
      <w:r/>
    </w:p>
    <w:p>
      <w:pPr>
        <w:spacing w:line="285" w:lineRule="auto"/>
        <w:rPr>
          <w:rFonts w:ascii="Arial"/>
          <w:sz w:val="21"/>
        </w:rPr>
      </w:pPr>
      <w:r/>
    </w:p>
    <w:p>
      <w:pPr>
        <w:spacing w:line="285" w:lineRule="auto"/>
        <w:rPr>
          <w:rFonts w:ascii="Arial"/>
          <w:sz w:val="21"/>
        </w:rPr>
      </w:pPr>
      <w:r/>
    </w:p>
    <w:p>
      <w:pPr>
        <w:pStyle w:val="BodyText"/>
        <w:ind w:left="591"/>
        <w:spacing w:before="94" w:line="227" w:lineRule="auto"/>
        <w:rPr/>
      </w:pPr>
      <w:r>
        <w:rPr>
          <w:spacing w:val="-1"/>
        </w:rPr>
        <w:t>类</w:t>
      </w:r>
      <w:r>
        <w:rPr>
          <w:spacing w:val="9"/>
        </w:rPr>
        <w:t xml:space="preserve">    </w:t>
      </w:r>
      <w:r>
        <w:rPr>
          <w:spacing w:val="-1"/>
        </w:rPr>
        <w:t>别：</w:t>
      </w:r>
      <w:r>
        <w:rPr>
          <w:spacing w:val="37"/>
        </w:rPr>
        <w:t xml:space="preserve"> </w:t>
      </w:r>
      <w:r>
        <w:rPr>
          <w:spacing w:val="-1"/>
        </w:rPr>
        <w:t>□重大</w:t>
      </w:r>
      <w:r>
        <w:rPr>
          <w:spacing w:val="11"/>
        </w:rPr>
        <w:t xml:space="preserve">    </w:t>
      </w:r>
      <w:r>
        <w:rPr>
          <w:spacing w:val="-1"/>
        </w:rPr>
        <w:t>□重点</w:t>
      </w:r>
    </w:p>
    <w:p>
      <w:pPr>
        <w:spacing w:line="427" w:lineRule="auto"/>
        <w:rPr>
          <w:rFonts w:ascii="Arial"/>
          <w:sz w:val="21"/>
        </w:rPr>
      </w:pPr>
      <w:r/>
    </w:p>
    <w:p>
      <w:pPr>
        <w:pStyle w:val="BodyText"/>
        <w:ind w:left="581"/>
        <w:spacing w:before="95" w:line="227" w:lineRule="auto"/>
        <w:rPr/>
      </w:pPr>
      <w:r>
        <w:rPr>
          <w:spacing w:val="1"/>
        </w:rPr>
        <w:t>牵头高校（公章</w:t>
      </w:r>
      <w:r>
        <w:rPr>
          <w:spacing w:val="4"/>
        </w:rPr>
        <w:t>）：</w:t>
      </w:r>
    </w:p>
    <w:p>
      <w:pPr>
        <w:spacing w:line="426" w:lineRule="auto"/>
        <w:rPr>
          <w:rFonts w:ascii="Arial"/>
          <w:sz w:val="21"/>
        </w:rPr>
      </w:pPr>
      <w:r/>
    </w:p>
    <w:p>
      <w:pPr>
        <w:pStyle w:val="BodyText"/>
        <w:ind w:left="585"/>
        <w:spacing w:before="95" w:line="228" w:lineRule="auto"/>
        <w:rPr/>
      </w:pPr>
      <w:r>
        <w:rPr>
          <w:spacing w:val="1"/>
        </w:rPr>
        <w:t>共建企业（公章</w:t>
      </w:r>
      <w:r>
        <w:rPr>
          <w:spacing w:val="2"/>
        </w:rPr>
        <w:t>）：</w:t>
      </w:r>
    </w:p>
    <w:p>
      <w:pPr>
        <w:spacing w:line="260" w:lineRule="auto"/>
        <w:rPr>
          <w:rFonts w:ascii="Arial"/>
          <w:sz w:val="21"/>
        </w:rPr>
      </w:pPr>
      <w:r/>
    </w:p>
    <w:p>
      <w:pPr>
        <w:spacing w:line="260" w:lineRule="auto"/>
        <w:rPr>
          <w:rFonts w:ascii="Arial"/>
          <w:sz w:val="21"/>
        </w:rPr>
      </w:pPr>
      <w:r/>
    </w:p>
    <w:p>
      <w:pPr>
        <w:spacing w:line="260" w:lineRule="auto"/>
        <w:rPr>
          <w:rFonts w:ascii="Arial"/>
          <w:sz w:val="21"/>
        </w:rPr>
      </w:pPr>
      <w:r/>
    </w:p>
    <w:p>
      <w:pPr>
        <w:spacing w:line="260" w:lineRule="auto"/>
        <w:rPr>
          <w:rFonts w:ascii="Arial"/>
          <w:sz w:val="21"/>
        </w:rPr>
      </w:pPr>
      <w:r/>
    </w:p>
    <w:p>
      <w:pPr>
        <w:spacing w:line="261" w:lineRule="auto"/>
        <w:rPr>
          <w:rFonts w:ascii="Arial"/>
          <w:sz w:val="21"/>
        </w:rPr>
      </w:pPr>
      <w:r/>
    </w:p>
    <w:p>
      <w:pPr>
        <w:pStyle w:val="BodyText"/>
        <w:ind w:left="582"/>
        <w:spacing w:before="94" w:line="228" w:lineRule="auto"/>
        <w:rPr/>
      </w:pPr>
      <w:r>
        <w:rPr>
          <w:spacing w:val="-10"/>
        </w:rPr>
        <w:t>联</w:t>
      </w:r>
      <w:r>
        <w:rPr>
          <w:spacing w:val="21"/>
        </w:rPr>
        <w:t xml:space="preserve"> </w:t>
      </w:r>
      <w:r>
        <w:rPr>
          <w:spacing w:val="-10"/>
        </w:rPr>
        <w:t>系</w:t>
      </w:r>
      <w:r>
        <w:rPr>
          <w:spacing w:val="23"/>
        </w:rPr>
        <w:t xml:space="preserve"> </w:t>
      </w:r>
      <w:r>
        <w:rPr>
          <w:spacing w:val="-10"/>
        </w:rPr>
        <w:t>人：</w:t>
      </w:r>
    </w:p>
    <w:p>
      <w:pPr>
        <w:spacing w:line="423" w:lineRule="auto"/>
        <w:rPr>
          <w:rFonts w:ascii="Arial"/>
          <w:sz w:val="21"/>
        </w:rPr>
      </w:pPr>
      <w:r/>
    </w:p>
    <w:p>
      <w:pPr>
        <w:pStyle w:val="BodyText"/>
        <w:ind w:left="582"/>
        <w:spacing w:before="95" w:line="228" w:lineRule="auto"/>
        <w:rPr/>
      </w:pPr>
      <w:r>
        <w:rPr>
          <w:spacing w:val="-4"/>
        </w:rPr>
        <w:t>联系电话：</w:t>
      </w:r>
    </w:p>
    <w:p>
      <w:pPr>
        <w:spacing w:line="428" w:lineRule="auto"/>
        <w:rPr>
          <w:rFonts w:ascii="Arial"/>
          <w:sz w:val="21"/>
        </w:rPr>
      </w:pPr>
      <w:r/>
    </w:p>
    <w:p>
      <w:pPr>
        <w:pStyle w:val="BodyText"/>
        <w:ind w:left="600"/>
        <w:spacing w:before="95" w:line="228" w:lineRule="auto"/>
        <w:rPr/>
      </w:pPr>
      <w:r>
        <w:rPr>
          <w:spacing w:val="-7"/>
        </w:rPr>
        <w:t>电子邮箱：</w:t>
      </w:r>
    </w:p>
    <w:p>
      <w:pPr>
        <w:spacing w:line="284" w:lineRule="auto"/>
        <w:rPr>
          <w:rFonts w:ascii="Arial"/>
          <w:sz w:val="21"/>
        </w:rPr>
      </w:pPr>
      <w:r/>
    </w:p>
    <w:p>
      <w:pPr>
        <w:spacing w:line="284" w:lineRule="auto"/>
        <w:rPr>
          <w:rFonts w:ascii="Arial"/>
          <w:sz w:val="21"/>
        </w:rPr>
      </w:pPr>
      <w:r/>
    </w:p>
    <w:p>
      <w:pPr>
        <w:spacing w:line="285" w:lineRule="auto"/>
        <w:rPr>
          <w:rFonts w:ascii="Arial"/>
          <w:sz w:val="21"/>
        </w:rPr>
      </w:pPr>
      <w:r/>
    </w:p>
    <w:p>
      <w:pPr>
        <w:spacing w:line="285" w:lineRule="auto"/>
        <w:rPr>
          <w:rFonts w:ascii="Arial"/>
          <w:sz w:val="21"/>
        </w:rPr>
      </w:pPr>
      <w:r/>
    </w:p>
    <w:p>
      <w:pPr>
        <w:spacing w:line="285" w:lineRule="auto"/>
        <w:rPr>
          <w:rFonts w:ascii="Arial"/>
          <w:sz w:val="21"/>
        </w:rPr>
      </w:pPr>
      <w:r/>
    </w:p>
    <w:p>
      <w:pPr>
        <w:pStyle w:val="BodyText"/>
        <w:ind w:left="3126"/>
        <w:spacing w:before="101" w:line="229" w:lineRule="auto"/>
        <w:rPr>
          <w:sz w:val="31"/>
          <w:szCs w:val="31"/>
        </w:rPr>
      </w:pPr>
      <w:r>
        <w:rPr>
          <w:sz w:val="31"/>
          <w:szCs w:val="31"/>
          <w:spacing w:val="-3"/>
        </w:rPr>
        <w:t>二○</w:t>
      </w:r>
      <w:r>
        <w:rPr>
          <w:sz w:val="31"/>
          <w:szCs w:val="31"/>
          <w:spacing w:val="10"/>
        </w:rPr>
        <w:t xml:space="preserve">   </w:t>
      </w:r>
      <w:r>
        <w:rPr>
          <w:sz w:val="31"/>
          <w:szCs w:val="31"/>
          <w:spacing w:val="-3"/>
        </w:rPr>
        <w:t>年</w:t>
      </w:r>
      <w:r>
        <w:rPr>
          <w:sz w:val="31"/>
          <w:szCs w:val="31"/>
          <w:spacing w:val="16"/>
        </w:rPr>
        <w:t xml:space="preserve">  </w:t>
      </w:r>
      <w:r>
        <w:rPr>
          <w:sz w:val="31"/>
          <w:szCs w:val="31"/>
          <w:spacing w:val="-3"/>
        </w:rPr>
        <w:t>月</w:t>
      </w:r>
      <w:r>
        <w:rPr>
          <w:sz w:val="31"/>
          <w:szCs w:val="31"/>
          <w:spacing w:val="35"/>
        </w:rPr>
        <w:t xml:space="preserve">  </w:t>
      </w:r>
      <w:r>
        <w:rPr>
          <w:sz w:val="31"/>
          <w:szCs w:val="31"/>
          <w:spacing w:val="-3"/>
        </w:rPr>
        <w:t>日</w:t>
      </w:r>
    </w:p>
    <w:p>
      <w:pPr>
        <w:spacing w:line="229" w:lineRule="auto"/>
        <w:sectPr>
          <w:footerReference w:type="default" r:id="rId1"/>
          <w:pgSz w:w="11906" w:h="16838"/>
          <w:pgMar w:top="1431" w:right="1360" w:bottom="1752" w:left="1561" w:header="0" w:footer="1372" w:gutter="0"/>
        </w:sectPr>
        <w:rPr>
          <w:sz w:val="31"/>
          <w:szCs w:val="31"/>
        </w:rPr>
      </w:pPr>
    </w:p>
    <w:p>
      <w:pPr>
        <w:spacing w:line="277" w:lineRule="auto"/>
        <w:rPr>
          <w:rFonts w:ascii="Arial"/>
          <w:sz w:val="21"/>
        </w:rPr>
      </w:pPr>
      <w:r/>
    </w:p>
    <w:p>
      <w:pPr>
        <w:spacing w:line="277" w:lineRule="auto"/>
        <w:rPr>
          <w:rFonts w:ascii="Arial"/>
          <w:sz w:val="21"/>
        </w:rPr>
      </w:pPr>
      <w:r/>
    </w:p>
    <w:p>
      <w:pPr>
        <w:spacing w:line="278" w:lineRule="auto"/>
        <w:rPr>
          <w:rFonts w:ascii="Arial"/>
          <w:sz w:val="21"/>
        </w:rPr>
      </w:pPr>
      <w:r/>
    </w:p>
    <w:p>
      <w:pPr>
        <w:spacing w:line="278" w:lineRule="auto"/>
        <w:rPr>
          <w:rFonts w:ascii="Arial"/>
          <w:sz w:val="21"/>
        </w:rPr>
      </w:pPr>
      <w:r/>
    </w:p>
    <w:p>
      <w:pPr>
        <w:ind w:left="1645"/>
        <w:spacing w:before="139" w:line="211" w:lineRule="auto"/>
        <w:rPr>
          <w:rFonts w:ascii="SimSun" w:hAnsi="SimSun" w:eastAsia="SimSun" w:cs="SimSun"/>
          <w:sz w:val="43"/>
          <w:szCs w:val="43"/>
        </w:rPr>
      </w:pPr>
      <w:r>
        <w:rPr>
          <w:rFonts w:ascii="SimSun" w:hAnsi="SimSun" w:eastAsia="SimSun" w:cs="SimSun"/>
          <w:sz w:val="43"/>
          <w:szCs w:val="43"/>
          <w:b/>
          <w:bCs/>
          <w:spacing w:val="4"/>
        </w:rPr>
        <w:t>河南省校企研发中心建设规划</w:t>
      </w:r>
    </w:p>
    <w:p>
      <w:pPr>
        <w:ind w:left="3203"/>
        <w:spacing w:before="150" w:line="604" w:lineRule="exact"/>
        <w:outlineLvl w:val="0"/>
        <w:rPr>
          <w:rFonts w:ascii="SimSun" w:hAnsi="SimSun" w:eastAsia="SimSun" w:cs="SimSun"/>
          <w:sz w:val="43"/>
          <w:szCs w:val="43"/>
        </w:rPr>
      </w:pPr>
      <w:r>
        <w:rPr>
          <w:rFonts w:ascii="SimSun" w:hAnsi="SimSun" w:eastAsia="SimSun" w:cs="SimSun"/>
          <w:sz w:val="43"/>
          <w:szCs w:val="43"/>
          <w:b/>
          <w:bCs/>
          <w:spacing w:val="-2"/>
          <w:position w:val="3"/>
        </w:rPr>
        <w:t>（参考提纲）</w:t>
      </w:r>
    </w:p>
    <w:p>
      <w:pPr>
        <w:spacing w:line="335" w:lineRule="auto"/>
        <w:rPr>
          <w:rFonts w:ascii="Arial"/>
          <w:sz w:val="21"/>
        </w:rPr>
      </w:pPr>
      <w:r/>
    </w:p>
    <w:p>
      <w:pPr>
        <w:spacing w:line="335" w:lineRule="auto"/>
        <w:rPr>
          <w:rFonts w:ascii="Arial"/>
          <w:sz w:val="21"/>
        </w:rPr>
      </w:pPr>
      <w:r/>
    </w:p>
    <w:p>
      <w:pPr>
        <w:pStyle w:val="BodyText"/>
        <w:ind w:left="648"/>
        <w:spacing w:before="101" w:line="226" w:lineRule="auto"/>
        <w:rPr>
          <w:sz w:val="31"/>
          <w:szCs w:val="31"/>
        </w:rPr>
      </w:pPr>
      <w:r>
        <w:rPr>
          <w:sz w:val="31"/>
          <w:szCs w:val="31"/>
          <w:spacing w:val="7"/>
        </w:rPr>
        <w:t>一、总体思路和发展目标</w:t>
      </w:r>
    </w:p>
    <w:p>
      <w:pPr>
        <w:pStyle w:val="BodyText"/>
        <w:ind w:left="648"/>
        <w:spacing w:before="199" w:line="227" w:lineRule="auto"/>
        <w:rPr>
          <w:sz w:val="31"/>
          <w:szCs w:val="31"/>
        </w:rPr>
      </w:pPr>
      <w:r>
        <w:rPr>
          <w:sz w:val="31"/>
          <w:szCs w:val="31"/>
          <w:spacing w:val="8"/>
        </w:rPr>
        <w:t>二、主要机制体制改革和运行模式</w:t>
      </w:r>
    </w:p>
    <w:p>
      <w:pPr>
        <w:pStyle w:val="BodyText"/>
        <w:ind w:left="650"/>
        <w:spacing w:before="200" w:line="226" w:lineRule="auto"/>
        <w:outlineLvl w:val="1"/>
        <w:rPr>
          <w:sz w:val="31"/>
          <w:szCs w:val="31"/>
        </w:rPr>
      </w:pPr>
      <w:r>
        <w:rPr>
          <w:sz w:val="31"/>
          <w:szCs w:val="31"/>
          <w:spacing w:val="8"/>
        </w:rPr>
        <w:t>三、主要任务和考核指标</w:t>
      </w:r>
    </w:p>
    <w:p>
      <w:pPr>
        <w:ind w:left="14" w:right="109" w:firstLine="655"/>
        <w:spacing w:before="200" w:line="315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spacing w:val="10"/>
        </w:rPr>
        <w:t>（一）科技攻关：</w:t>
      </w:r>
      <w:r>
        <w:rPr>
          <w:rFonts w:ascii="FangSong" w:hAnsi="FangSong" w:eastAsia="FangSong" w:cs="FangSong"/>
          <w:sz w:val="31"/>
          <w:szCs w:val="31"/>
          <w:spacing w:val="10"/>
        </w:rPr>
        <w:t>包括拟围绕共建企业关键技术难题开展的</w:t>
      </w:r>
      <w:r>
        <w:rPr>
          <w:rFonts w:ascii="FangSong" w:hAnsi="FangSong" w:eastAsia="FangSong" w:cs="FangSong"/>
          <w:sz w:val="31"/>
          <w:szCs w:val="31"/>
          <w:spacing w:val="10"/>
        </w:rPr>
        <w:t>产业共性技术研发和成果中试转化任务、拟突破的重大理论和科</w:t>
      </w:r>
      <w:r>
        <w:rPr>
          <w:rFonts w:ascii="FangSong" w:hAnsi="FangSong" w:eastAsia="FangSong" w:cs="FangSong"/>
          <w:sz w:val="31"/>
          <w:szCs w:val="31"/>
          <w:spacing w:val="10"/>
        </w:rPr>
        <w:t>学问题、拟开辟的新领域和新方向、预期取得的重大科研成果产</w:t>
      </w:r>
      <w:r>
        <w:rPr>
          <w:rFonts w:ascii="FangSong" w:hAnsi="FangSong" w:eastAsia="FangSong" w:cs="FangSong"/>
          <w:sz w:val="31"/>
          <w:szCs w:val="31"/>
          <w:spacing w:val="3"/>
        </w:rPr>
        <w:t>出以及国际学术影响等。</w:t>
      </w:r>
    </w:p>
    <w:p>
      <w:pPr>
        <w:ind w:left="24" w:firstLine="645"/>
        <w:spacing w:before="204" w:line="284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spacing w:val="10"/>
        </w:rPr>
        <w:t>（二）队伍建设：</w:t>
      </w:r>
      <w:r>
        <w:rPr>
          <w:rFonts w:ascii="FangSong" w:hAnsi="FangSong" w:eastAsia="FangSong" w:cs="FangSong"/>
          <w:sz w:val="31"/>
          <w:szCs w:val="31"/>
          <w:spacing w:val="10"/>
        </w:rPr>
        <w:t>包括校企双方全职固定人员与团队、兼聘</w:t>
      </w:r>
      <w:r>
        <w:rPr>
          <w:rFonts w:ascii="FangSong" w:hAnsi="FangSong" w:eastAsia="FangSong" w:cs="FangSong"/>
          <w:sz w:val="31"/>
          <w:szCs w:val="31"/>
          <w:spacing w:val="3"/>
        </w:rPr>
        <w:t>与双聘人员、访问与流动人员、技术与管理人员以及其他人员等。</w:t>
      </w:r>
    </w:p>
    <w:p>
      <w:pPr>
        <w:ind w:left="10" w:right="111" w:firstLine="658"/>
        <w:spacing w:before="209" w:line="282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spacing w:val="10"/>
        </w:rPr>
        <w:t>（三）条件保障：</w:t>
      </w:r>
      <w:r>
        <w:rPr>
          <w:rFonts w:ascii="FangSong" w:hAnsi="FangSong" w:eastAsia="FangSong" w:cs="FangSong"/>
          <w:sz w:val="31"/>
          <w:szCs w:val="31"/>
          <w:spacing w:val="10"/>
        </w:rPr>
        <w:t>包括基础设施、平台与仪器设备、图书资</w:t>
      </w:r>
      <w:r>
        <w:rPr>
          <w:rFonts w:ascii="FangSong" w:hAnsi="FangSong" w:eastAsia="FangSong" w:cs="FangSong"/>
          <w:sz w:val="31"/>
          <w:szCs w:val="31"/>
          <w:spacing w:val="7"/>
        </w:rPr>
        <w:t>料、资源库以及数据库等。</w:t>
      </w:r>
    </w:p>
    <w:p>
      <w:pPr>
        <w:ind w:left="13" w:right="109" w:firstLine="656"/>
        <w:spacing w:before="212" w:line="304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spacing w:val="10"/>
        </w:rPr>
        <w:t>（四）学科发展：</w:t>
      </w:r>
      <w:r>
        <w:rPr>
          <w:rFonts w:ascii="FangSong" w:hAnsi="FangSong" w:eastAsia="FangSong" w:cs="FangSong"/>
          <w:sz w:val="31"/>
          <w:szCs w:val="31"/>
          <w:spacing w:val="10"/>
        </w:rPr>
        <w:t>包括面向需求的多学科集成、主体学科发</w:t>
      </w:r>
      <w:r>
        <w:rPr>
          <w:rFonts w:ascii="FangSong" w:hAnsi="FangSong" w:eastAsia="FangSong" w:cs="FangSong"/>
          <w:sz w:val="31"/>
          <w:szCs w:val="31"/>
          <w:spacing w:val="11"/>
        </w:rPr>
        <w:t>展和国际排名提升、相关学科的带动与影响</w:t>
      </w:r>
      <w:r>
        <w:rPr>
          <w:rFonts w:ascii="FangSong" w:hAnsi="FangSong" w:eastAsia="FangSong" w:cs="FangSong"/>
          <w:sz w:val="31"/>
          <w:szCs w:val="31"/>
          <w:spacing w:val="10"/>
        </w:rPr>
        <w:t>、交叉和新兴学科的</w:t>
      </w:r>
      <w:r>
        <w:rPr>
          <w:rFonts w:ascii="FangSong" w:hAnsi="FangSong" w:eastAsia="FangSong" w:cs="FangSong"/>
          <w:sz w:val="31"/>
          <w:szCs w:val="31"/>
          <w:spacing w:val="-5"/>
        </w:rPr>
        <w:t>培育等。</w:t>
      </w:r>
    </w:p>
    <w:p>
      <w:pPr>
        <w:ind w:left="15" w:right="111" w:firstLine="653"/>
        <w:spacing w:before="207" w:line="284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spacing w:val="10"/>
        </w:rPr>
        <w:t>（五）人才培养：</w:t>
      </w:r>
      <w:r>
        <w:rPr>
          <w:rFonts w:ascii="FangSong" w:hAnsi="FangSong" w:eastAsia="FangSong" w:cs="FangSong"/>
          <w:sz w:val="31"/>
          <w:szCs w:val="31"/>
          <w:spacing w:val="10"/>
        </w:rPr>
        <w:t>包括国内外优秀中青年人才吸引与培养计</w:t>
      </w:r>
      <w:r>
        <w:rPr>
          <w:rFonts w:ascii="FangSong" w:hAnsi="FangSong" w:eastAsia="FangSong" w:cs="FangSong"/>
          <w:sz w:val="31"/>
          <w:szCs w:val="31"/>
          <w:spacing w:val="8"/>
        </w:rPr>
        <w:t>划、牵头高校和共建企业双向交流、协同育人计划等。</w:t>
      </w:r>
    </w:p>
    <w:p>
      <w:pPr>
        <w:ind w:left="669"/>
        <w:spacing w:before="206" w:line="219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spacing w:val="10"/>
        </w:rPr>
        <w:t>（六）社会服务与贡献：</w:t>
      </w:r>
      <w:r>
        <w:rPr>
          <w:rFonts w:ascii="FangSong" w:hAnsi="FangSong" w:eastAsia="FangSong" w:cs="FangSong"/>
          <w:sz w:val="31"/>
          <w:szCs w:val="31"/>
          <w:spacing w:val="10"/>
        </w:rPr>
        <w:t>重大科技成果的转移转化、产业竞</w:t>
      </w:r>
    </w:p>
    <w:p>
      <w:pPr>
        <w:spacing w:line="219" w:lineRule="auto"/>
        <w:sectPr>
          <w:footerReference w:type="default" r:id="rId2"/>
          <w:pgSz w:w="11906" w:h="16838"/>
          <w:pgMar w:top="1431" w:right="1261" w:bottom="1752" w:left="1540" w:header="0" w:footer="1372" w:gutter="0"/>
        </w:sectPr>
        <w:rPr>
          <w:rFonts w:ascii="FangSong" w:hAnsi="FangSong" w:eastAsia="FangSong" w:cs="FangSong"/>
          <w:sz w:val="31"/>
          <w:szCs w:val="31"/>
        </w:rPr>
      </w:pPr>
    </w:p>
    <w:p>
      <w:pPr>
        <w:spacing w:line="293" w:lineRule="auto"/>
        <w:rPr>
          <w:rFonts w:ascii="Arial"/>
          <w:sz w:val="21"/>
        </w:rPr>
      </w:pPr>
      <w:r/>
    </w:p>
    <w:p>
      <w:pPr>
        <w:spacing w:line="293" w:lineRule="auto"/>
        <w:rPr>
          <w:rFonts w:ascii="Arial"/>
          <w:sz w:val="21"/>
        </w:rPr>
      </w:pPr>
      <w:r/>
    </w:p>
    <w:p>
      <w:pPr>
        <w:ind w:right="109" w:firstLine="1"/>
        <w:spacing w:before="100" w:line="345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spacing w:val="10"/>
        </w:rPr>
        <w:t>争力的有效提升、直接带动的产业规模与效益、重大民生改善和</w:t>
      </w:r>
      <w:r>
        <w:rPr>
          <w:rFonts w:ascii="FangSong" w:hAnsi="FangSong" w:eastAsia="FangSong" w:cs="FangSong"/>
          <w:sz w:val="31"/>
          <w:szCs w:val="31"/>
          <w:spacing w:val="1"/>
        </w:rPr>
        <w:t>决策咨询建议等。</w:t>
      </w:r>
    </w:p>
    <w:p>
      <w:pPr>
        <w:ind w:left="656"/>
        <w:spacing w:before="1" w:line="221" w:lineRule="auto"/>
        <w:rPr>
          <w:rFonts w:ascii="KaiTi" w:hAnsi="KaiTi" w:eastAsia="KaiTi" w:cs="KaiTi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spacing w:val="-9"/>
        </w:rPr>
        <w:t>（七）</w:t>
      </w:r>
      <w:r>
        <w:rPr>
          <w:rFonts w:ascii="KaiTi" w:hAnsi="KaiTi" w:eastAsia="KaiTi" w:cs="KaiTi"/>
          <w:sz w:val="31"/>
          <w:szCs w:val="31"/>
          <w:spacing w:val="66"/>
        </w:rPr>
        <w:t xml:space="preserve"> </w:t>
      </w:r>
      <w:r>
        <w:rPr>
          <w:rFonts w:ascii="KaiTi" w:hAnsi="KaiTi" w:eastAsia="KaiTi" w:cs="KaiTi"/>
          <w:sz w:val="31"/>
          <w:szCs w:val="31"/>
          <w:spacing w:val="-9"/>
        </w:rPr>
        <w:t>其他。</w:t>
      </w:r>
    </w:p>
    <w:p>
      <w:pPr>
        <w:pStyle w:val="BodyText"/>
        <w:ind w:left="649"/>
        <w:spacing w:before="207" w:line="226" w:lineRule="auto"/>
        <w:outlineLvl w:val="1"/>
        <w:rPr>
          <w:sz w:val="31"/>
          <w:szCs w:val="31"/>
        </w:rPr>
      </w:pPr>
      <w:r>
        <w:rPr>
          <w:sz w:val="31"/>
          <w:szCs w:val="31"/>
          <w:spacing w:val="7"/>
        </w:rPr>
        <w:t>四、资源整合与投入支出</w:t>
      </w:r>
    </w:p>
    <w:p>
      <w:pPr>
        <w:ind w:left="656"/>
        <w:spacing w:before="199" w:line="222" w:lineRule="auto"/>
        <w:rPr>
          <w:rFonts w:ascii="KaiTi" w:hAnsi="KaiTi" w:eastAsia="KaiTi" w:cs="KaiTi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spacing w:val="5"/>
        </w:rPr>
        <w:t>（一）已有投入与支出情况</w:t>
      </w:r>
    </w:p>
    <w:p>
      <w:pPr>
        <w:ind w:left="2" w:right="109" w:firstLine="650"/>
        <w:spacing w:before="210" w:line="304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spacing w:val="10"/>
        </w:rPr>
        <w:t>1.整合资源情况：包括行业产业部门的专项支</w:t>
      </w:r>
      <w:r>
        <w:rPr>
          <w:rFonts w:ascii="FangSong" w:hAnsi="FangSong" w:eastAsia="FangSong" w:cs="FangSong"/>
          <w:sz w:val="31"/>
          <w:szCs w:val="31"/>
          <w:spacing w:val="9"/>
        </w:rPr>
        <w:t>持、地方政府</w:t>
      </w:r>
      <w:r>
        <w:rPr>
          <w:rFonts w:ascii="FangSong" w:hAnsi="FangSong" w:eastAsia="FangSong" w:cs="FangSong"/>
          <w:sz w:val="31"/>
          <w:szCs w:val="31"/>
          <w:spacing w:val="10"/>
        </w:rPr>
        <w:t>的已有支持和专项配套、各类科研经费、学校自筹、企业投入以</w:t>
      </w:r>
      <w:r>
        <w:rPr>
          <w:rFonts w:ascii="FangSong" w:hAnsi="FangSong" w:eastAsia="FangSong" w:cs="FangSong"/>
          <w:sz w:val="31"/>
          <w:szCs w:val="31"/>
          <w:spacing w:val="4"/>
        </w:rPr>
        <w:t>及社会支持与捐赠等。</w:t>
      </w:r>
    </w:p>
    <w:p>
      <w:pPr>
        <w:ind w:left="1" w:right="109" w:firstLine="632"/>
        <w:spacing w:before="204" w:line="304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spacing w:val="4"/>
        </w:rPr>
        <w:t>2.</w:t>
      </w:r>
      <w:r>
        <w:rPr>
          <w:rFonts w:ascii="FangSong" w:hAnsi="FangSong" w:eastAsia="FangSong" w:cs="FangSong"/>
          <w:sz w:val="31"/>
          <w:szCs w:val="31"/>
          <w:spacing w:val="4"/>
        </w:rPr>
        <w:t xml:space="preserve"> </w:t>
      </w:r>
      <w:r>
        <w:rPr>
          <w:rFonts w:ascii="FangSong" w:hAnsi="FangSong" w:eastAsia="FangSong" w:cs="FangSong"/>
          <w:sz w:val="31"/>
          <w:szCs w:val="31"/>
          <w:spacing w:val="4"/>
        </w:rPr>
        <w:t>主要支出情况：包括中心的基本建设、研发平台、仪器设</w:t>
      </w:r>
      <w:r>
        <w:rPr>
          <w:rFonts w:ascii="FangSong" w:hAnsi="FangSong" w:eastAsia="FangSong" w:cs="FangSong"/>
          <w:sz w:val="31"/>
          <w:szCs w:val="31"/>
          <w:spacing w:val="10"/>
        </w:rPr>
        <w:t>备、人才引进、学生培养、科学研究、绩效奖励、国际交流与合</w:t>
      </w:r>
      <w:r>
        <w:rPr>
          <w:rFonts w:ascii="FangSong" w:hAnsi="FangSong" w:eastAsia="FangSong" w:cs="FangSong"/>
          <w:sz w:val="31"/>
          <w:szCs w:val="31"/>
          <w:spacing w:val="5"/>
        </w:rPr>
        <w:t>作以及运行保障等方面的支出。</w:t>
      </w:r>
    </w:p>
    <w:p>
      <w:pPr>
        <w:ind w:left="656"/>
        <w:spacing w:before="211" w:line="222" w:lineRule="auto"/>
        <w:rPr>
          <w:rFonts w:ascii="KaiTi" w:hAnsi="KaiTi" w:eastAsia="KaiTi" w:cs="KaiTi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spacing w:val="6"/>
        </w:rPr>
        <w:t>（二）三年总体经费收入与支出预算</w:t>
      </w:r>
    </w:p>
    <w:p>
      <w:pPr>
        <w:ind w:left="653"/>
        <w:spacing w:before="208" w:line="222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spacing w:val="5"/>
        </w:rPr>
        <w:t>1.主要经费来源计划</w:t>
      </w:r>
    </w:p>
    <w:p>
      <w:pPr>
        <w:ind w:left="11" w:firstLine="622"/>
        <w:spacing w:before="208" w:line="283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spacing w:val="10"/>
        </w:rPr>
        <w:t>2.主要支出计划：包括基础条件与环境建设、重大科研任务</w:t>
      </w:r>
      <w:r>
        <w:rPr>
          <w:rFonts w:ascii="FangSong" w:hAnsi="FangSong" w:eastAsia="FangSong" w:cs="FangSong"/>
          <w:sz w:val="31"/>
          <w:szCs w:val="31"/>
          <w:spacing w:val="3"/>
        </w:rPr>
        <w:t>与科研经费、人才引进及绩效奖励、人才培养以及运行与管理等。</w:t>
      </w:r>
    </w:p>
    <w:p>
      <w:pPr>
        <w:ind w:left="656"/>
        <w:spacing w:before="209" w:line="222" w:lineRule="auto"/>
        <w:rPr>
          <w:rFonts w:ascii="KaiTi" w:hAnsi="KaiTi" w:eastAsia="KaiTi" w:cs="KaiTi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spacing w:val="7"/>
        </w:rPr>
        <w:t>（三）省级专项经费使用计划与测算依据</w:t>
      </w:r>
    </w:p>
    <w:p>
      <w:pPr>
        <w:ind w:left="653"/>
        <w:spacing w:before="205" w:line="223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spacing w:val="6"/>
        </w:rPr>
        <w:t>1.省级专项经费：分三年整体计划及年度计</w:t>
      </w:r>
      <w:r>
        <w:rPr>
          <w:rFonts w:ascii="FangSong" w:hAnsi="FangSong" w:eastAsia="FangSong" w:cs="FangSong"/>
          <w:sz w:val="31"/>
          <w:szCs w:val="31"/>
          <w:spacing w:val="5"/>
        </w:rPr>
        <w:t>划。</w:t>
      </w:r>
    </w:p>
    <w:p>
      <w:pPr>
        <w:ind w:right="109" w:firstLine="633"/>
        <w:spacing w:before="209" w:line="304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spacing w:val="10"/>
        </w:rPr>
        <w:t>2.主要支出计划与分配方案：支出范围包括团队建设、人才</w:t>
      </w:r>
      <w:r>
        <w:rPr>
          <w:rFonts w:ascii="FangSong" w:hAnsi="FangSong" w:eastAsia="FangSong" w:cs="FangSong"/>
          <w:sz w:val="31"/>
          <w:szCs w:val="31"/>
          <w:spacing w:val="11"/>
        </w:rPr>
        <w:t>培养、合作交流和日常运行等，详细说明测</w:t>
      </w:r>
      <w:r>
        <w:rPr>
          <w:rFonts w:ascii="FangSong" w:hAnsi="FangSong" w:eastAsia="FangSong" w:cs="FangSong"/>
          <w:sz w:val="31"/>
          <w:szCs w:val="31"/>
          <w:spacing w:val="10"/>
        </w:rPr>
        <w:t>算依据和协同创新体</w:t>
      </w:r>
      <w:r>
        <w:rPr>
          <w:rFonts w:ascii="FangSong" w:hAnsi="FangSong" w:eastAsia="FangSong" w:cs="FangSong"/>
          <w:sz w:val="31"/>
          <w:szCs w:val="31"/>
          <w:spacing w:val="6"/>
        </w:rPr>
        <w:t>内的分配方案</w:t>
      </w:r>
    </w:p>
    <w:p>
      <w:pPr>
        <w:pStyle w:val="BodyText"/>
        <w:ind w:left="639"/>
        <w:spacing w:before="206" w:line="226" w:lineRule="auto"/>
        <w:outlineLvl w:val="1"/>
        <w:rPr>
          <w:sz w:val="31"/>
          <w:szCs w:val="31"/>
        </w:rPr>
      </w:pPr>
      <w:r>
        <w:rPr>
          <w:sz w:val="31"/>
          <w:szCs w:val="31"/>
          <w:spacing w:val="8"/>
        </w:rPr>
        <w:t>五、年度实施计划与绩效目标</w:t>
      </w:r>
    </w:p>
    <w:p>
      <w:pPr>
        <w:ind w:left="643"/>
        <w:spacing w:before="202" w:line="222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spacing w:val="10"/>
        </w:rPr>
        <w:t>分年度阐述年度实施计划与总体发展规划的关系、每年上述</w:t>
      </w:r>
    </w:p>
    <w:p>
      <w:pPr>
        <w:spacing w:line="222" w:lineRule="auto"/>
        <w:sectPr>
          <w:footerReference w:type="default" r:id="rId3"/>
          <w:pgSz w:w="11906" w:h="16838"/>
          <w:pgMar w:top="1431" w:right="1261" w:bottom="1752" w:left="1553" w:header="0" w:footer="1369" w:gutter="0"/>
        </w:sectPr>
        <w:rPr>
          <w:rFonts w:ascii="FangSong" w:hAnsi="FangSong" w:eastAsia="FangSong" w:cs="FangSong"/>
          <w:sz w:val="31"/>
          <w:szCs w:val="31"/>
        </w:rPr>
      </w:pPr>
    </w:p>
    <w:p>
      <w:pPr>
        <w:spacing w:line="292" w:lineRule="auto"/>
        <w:rPr>
          <w:rFonts w:ascii="Arial"/>
          <w:sz w:val="21"/>
        </w:rPr>
      </w:pPr>
      <w:r/>
    </w:p>
    <w:p>
      <w:pPr>
        <w:spacing w:line="293" w:lineRule="auto"/>
        <w:rPr>
          <w:rFonts w:ascii="Arial"/>
          <w:sz w:val="21"/>
        </w:rPr>
      </w:pPr>
      <w:r/>
    </w:p>
    <w:p>
      <w:pPr>
        <w:ind w:left="30"/>
        <w:spacing w:before="100" w:line="223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spacing w:val="5"/>
        </w:rPr>
        <w:t>的任务完成计划和具体的绩效目标等。</w:t>
      </w:r>
    </w:p>
    <w:p>
      <w:pPr>
        <w:pStyle w:val="BodyText"/>
        <w:ind w:left="653"/>
        <w:spacing w:before="203" w:line="230" w:lineRule="auto"/>
        <w:outlineLvl w:val="1"/>
        <w:rPr>
          <w:sz w:val="31"/>
          <w:szCs w:val="31"/>
        </w:rPr>
      </w:pPr>
      <w:r>
        <w:rPr>
          <w:sz w:val="31"/>
          <w:szCs w:val="31"/>
          <w:spacing w:val="4"/>
        </w:rPr>
        <w:t>六、附件</w:t>
      </w:r>
    </w:p>
    <w:p>
      <w:pPr>
        <w:spacing w:line="335" w:lineRule="auto"/>
        <w:rPr>
          <w:rFonts w:ascii="Arial"/>
          <w:sz w:val="21"/>
        </w:rPr>
      </w:pPr>
      <w:r/>
    </w:p>
    <w:p>
      <w:pPr>
        <w:spacing w:line="336" w:lineRule="auto"/>
        <w:rPr>
          <w:rFonts w:ascii="Arial"/>
          <w:sz w:val="21"/>
        </w:rPr>
      </w:pPr>
      <w:r/>
    </w:p>
    <w:p>
      <w:pPr>
        <w:ind w:left="40" w:firstLine="619"/>
        <w:spacing w:before="101" w:line="344" w:lineRule="auto"/>
        <w:rPr>
          <w:rFonts w:ascii="KaiTi" w:hAnsi="KaiTi" w:eastAsia="KaiTi" w:cs="KaiTi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spacing w:val="10"/>
        </w:rPr>
        <w:t>注：建设规划须明确各项建设任务的量化指标，将作为研发</w:t>
      </w:r>
      <w:r>
        <w:rPr>
          <w:rFonts w:ascii="KaiTi" w:hAnsi="KaiTi" w:eastAsia="KaiTi" w:cs="KaiTi"/>
          <w:sz w:val="31"/>
          <w:szCs w:val="31"/>
          <w:spacing w:val="4"/>
        </w:rPr>
        <w:t>中心获认定后考核评价的主要依据。</w:t>
      </w:r>
    </w:p>
    <w:p>
      <w:pPr>
        <w:spacing w:line="344" w:lineRule="auto"/>
        <w:sectPr>
          <w:footerReference w:type="default" r:id="rId4"/>
          <w:pgSz w:w="11906" w:h="16838"/>
          <w:pgMar w:top="1431" w:right="1371" w:bottom="1752" w:left="1540" w:header="0" w:footer="1369" w:gutter="0"/>
        </w:sectPr>
        <w:rPr>
          <w:rFonts w:ascii="KaiTi" w:hAnsi="KaiTi" w:eastAsia="KaiTi" w:cs="KaiTi"/>
          <w:sz w:val="31"/>
          <w:szCs w:val="31"/>
        </w:rPr>
      </w:pPr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6839</wp:posOffset>
            </wp:positionH>
            <wp:positionV relativeFrom="paragraph">
              <wp:posOffset>90476</wp:posOffset>
            </wp:positionV>
            <wp:extent cx="5695827" cy="9359"/>
            <wp:effectExtent l="0" t="0" r="0" b="0"/>
            <wp:wrapNone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695827" cy="93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ind w:left="319"/>
        <w:spacing w:before="101" w:line="220" w:lineRule="auto"/>
        <w:rPr>
          <w:rFonts w:ascii="FangSong" w:hAnsi="FangSong" w:eastAsia="FangSong" w:cs="FangSong"/>
          <w:sz w:val="31"/>
          <w:szCs w:val="31"/>
        </w:rPr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9719</wp:posOffset>
            </wp:positionH>
            <wp:positionV relativeFrom="paragraph">
              <wp:posOffset>386929</wp:posOffset>
            </wp:positionV>
            <wp:extent cx="5695828" cy="9359"/>
            <wp:effectExtent l="0" t="0" r="0" b="0"/>
            <wp:wrapNone/>
            <wp:docPr id="4" name="IM 4"/>
            <wp:cNvGraphicFramePr/>
            <a:graphic>
              <a:graphicData uri="http://schemas.openxmlformats.org/drawingml/2006/picture">
                <pic:pic>
                  <pic:nvPicPr>
                    <pic:cNvPr id="4" name="IM 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695828" cy="93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FangSong" w:hAnsi="FangSong" w:eastAsia="FangSong" w:cs="FangSong"/>
          <w:sz w:val="31"/>
          <w:szCs w:val="31"/>
        </w:rPr>
        <w:t>河南省教育厅办公室</w:t>
      </w:r>
      <w:r>
        <w:rPr>
          <w:rFonts w:ascii="FangSong" w:hAnsi="FangSong" w:eastAsia="FangSong" w:cs="FangSong"/>
          <w:sz w:val="31"/>
          <w:szCs w:val="31"/>
        </w:rPr>
        <w:t xml:space="preserve">  </w:t>
      </w:r>
      <w:r>
        <w:rPr>
          <w:rFonts w:ascii="FangSong" w:hAnsi="FangSong" w:eastAsia="FangSong" w:cs="FangSong"/>
          <w:sz w:val="31"/>
          <w:szCs w:val="31"/>
        </w:rPr>
        <w:t>依申请公开</w:t>
      </w:r>
      <w:r>
        <w:rPr>
          <w:rFonts w:ascii="FangSong" w:hAnsi="FangSong" w:eastAsia="FangSong" w:cs="FangSong"/>
          <w:sz w:val="31"/>
          <w:szCs w:val="31"/>
        </w:rPr>
        <w:t xml:space="preserve">  </w:t>
      </w:r>
      <w:r>
        <w:rPr>
          <w:rFonts w:ascii="FangSong" w:hAnsi="FangSong" w:eastAsia="FangSong" w:cs="FangSong"/>
          <w:sz w:val="31"/>
          <w:szCs w:val="31"/>
        </w:rPr>
        <w:t>2025</w:t>
      </w:r>
      <w:r>
        <w:rPr>
          <w:rFonts w:ascii="FangSong" w:hAnsi="FangSong" w:eastAsia="FangSong" w:cs="FangSong"/>
          <w:sz w:val="31"/>
          <w:szCs w:val="31"/>
          <w:spacing w:val="-37"/>
        </w:rPr>
        <w:t xml:space="preserve"> </w:t>
      </w:r>
      <w:r>
        <w:rPr>
          <w:rFonts w:ascii="FangSong" w:hAnsi="FangSong" w:eastAsia="FangSong" w:cs="FangSong"/>
          <w:sz w:val="31"/>
          <w:szCs w:val="31"/>
        </w:rPr>
        <w:t>年</w:t>
      </w:r>
      <w:r>
        <w:rPr>
          <w:rFonts w:ascii="FangSong" w:hAnsi="FangSong" w:eastAsia="FangSong" w:cs="FangSong"/>
          <w:sz w:val="31"/>
          <w:szCs w:val="31"/>
          <w:spacing w:val="-39"/>
        </w:rPr>
        <w:t xml:space="preserve"> </w:t>
      </w:r>
      <w:r>
        <w:rPr>
          <w:rFonts w:ascii="FangSong" w:hAnsi="FangSong" w:eastAsia="FangSong" w:cs="FangSong"/>
          <w:sz w:val="31"/>
          <w:szCs w:val="31"/>
        </w:rPr>
        <w:t>10</w:t>
      </w:r>
      <w:r>
        <w:rPr>
          <w:rFonts w:ascii="FangSong" w:hAnsi="FangSong" w:eastAsia="FangSong" w:cs="FangSong"/>
          <w:sz w:val="31"/>
          <w:szCs w:val="31"/>
          <w:spacing w:val="-36"/>
        </w:rPr>
        <w:t xml:space="preserve"> </w:t>
      </w:r>
      <w:r>
        <w:rPr>
          <w:rFonts w:ascii="FangSong" w:hAnsi="FangSong" w:eastAsia="FangSong" w:cs="FangSong"/>
          <w:sz w:val="31"/>
          <w:szCs w:val="31"/>
        </w:rPr>
        <w:t>月</w:t>
      </w:r>
      <w:r>
        <w:rPr>
          <w:rFonts w:ascii="FangSong" w:hAnsi="FangSong" w:eastAsia="FangSong" w:cs="FangSong"/>
          <w:sz w:val="31"/>
          <w:szCs w:val="31"/>
          <w:spacing w:val="-61"/>
        </w:rPr>
        <w:t xml:space="preserve"> </w:t>
      </w:r>
      <w:r>
        <w:rPr>
          <w:rFonts w:ascii="FangSong" w:hAnsi="FangSong" w:eastAsia="FangSong" w:cs="FangSong"/>
          <w:sz w:val="31"/>
          <w:szCs w:val="31"/>
        </w:rPr>
        <w:t>27</w:t>
      </w:r>
      <w:r>
        <w:rPr>
          <w:rFonts w:ascii="FangSong" w:hAnsi="FangSong" w:eastAsia="FangSong" w:cs="FangSong"/>
          <w:sz w:val="31"/>
          <w:szCs w:val="31"/>
          <w:spacing w:val="16"/>
        </w:rPr>
        <w:t xml:space="preserve"> </w:t>
      </w:r>
      <w:r>
        <w:rPr>
          <w:rFonts w:ascii="FangSong" w:hAnsi="FangSong" w:eastAsia="FangSong" w:cs="FangSong"/>
          <w:sz w:val="31"/>
          <w:szCs w:val="31"/>
        </w:rPr>
        <w:t>日印发</w:t>
      </w:r>
    </w:p>
    <w:p>
      <w:pPr>
        <w:ind w:firstLine="5893"/>
        <w:spacing w:before="203" w:line="742" w:lineRule="exact"/>
        <w:rPr/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184849</wp:posOffset>
            </wp:positionV>
            <wp:extent cx="1057302" cy="382313"/>
            <wp:effectExtent l="0" t="0" r="0" b="0"/>
            <wp:wrapNone/>
            <wp:docPr id="6" name="IM 6"/>
            <wp:cNvGraphicFramePr/>
            <a:graphic>
              <a:graphicData uri="http://schemas.openxmlformats.org/drawingml/2006/picture">
                <pic:pic>
                  <pic:nvPicPr>
                    <pic:cNvPr id="6" name="IM 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57302" cy="3823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14"/>
        </w:rPr>
        <w:drawing>
          <wp:inline distT="0" distB="0" distL="0" distR="0">
            <wp:extent cx="1789145" cy="470872"/>
            <wp:effectExtent l="0" t="0" r="0" b="0"/>
            <wp:docPr id="8" name="IM 8"/>
            <wp:cNvGraphicFramePr/>
            <a:graphic>
              <a:graphicData uri="http://schemas.openxmlformats.org/drawingml/2006/picture">
                <pic:pic>
                  <pic:nvPicPr>
                    <pic:cNvPr id="8" name="IM 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789145" cy="470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w:type="default" r:id="rId5"/>
      <w:pgSz w:w="11906" w:h="16838"/>
      <w:pgMar w:top="1431" w:right="1399" w:bottom="400" w:left="1520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aiTi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before="1" w:line="235" w:lineRule="auto"/>
      <w:jc w:val="right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6"/>
      </w:rPr>
      <w:t>—</w:t>
    </w:r>
    <w:r>
      <w:rPr>
        <w:rFonts w:ascii="FangSong" w:hAnsi="FangSong" w:eastAsia="FangSong" w:cs="FangSong"/>
        <w:sz w:val="29"/>
        <w:szCs w:val="29"/>
        <w:spacing w:val="36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19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—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before="1" w:line="235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2"/>
      </w:rPr>
      <w:t>—</w:t>
    </w:r>
    <w:r>
      <w:rPr>
        <w:rFonts w:ascii="FangSong" w:hAnsi="FangSong" w:eastAsia="FangSong" w:cs="FangSong"/>
        <w:sz w:val="29"/>
        <w:szCs w:val="29"/>
        <w:spacing w:val="20"/>
      </w:rPr>
      <w:t xml:space="preserve"> </w:t>
    </w:r>
    <w:r>
      <w:rPr>
        <w:rFonts w:ascii="FangSong" w:hAnsi="FangSong" w:eastAsia="FangSong" w:cs="FangSong"/>
        <w:sz w:val="29"/>
        <w:szCs w:val="29"/>
        <w:spacing w:val="-2"/>
      </w:rPr>
      <w:t>20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2"/>
      </w:rPr>
      <w:t>—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7801"/>
      <w:spacing w:line="237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2"/>
      </w:rPr>
      <w:t>—</w:t>
    </w:r>
    <w:r>
      <w:rPr>
        <w:rFonts w:ascii="FangSong" w:hAnsi="FangSong" w:eastAsia="FangSong" w:cs="FangSong"/>
        <w:sz w:val="29"/>
        <w:szCs w:val="29"/>
        <w:spacing w:val="20"/>
      </w:rPr>
      <w:t xml:space="preserve"> </w:t>
    </w:r>
    <w:r>
      <w:rPr>
        <w:rFonts w:ascii="FangSong" w:hAnsi="FangSong" w:eastAsia="FangSong" w:cs="FangSong"/>
        <w:sz w:val="29"/>
        <w:szCs w:val="29"/>
        <w:spacing w:val="-2"/>
      </w:rPr>
      <w:t>21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2"/>
      </w:rPr>
      <w:t>—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237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2"/>
      </w:rPr>
      <w:t>—</w:t>
    </w:r>
    <w:r>
      <w:rPr>
        <w:rFonts w:ascii="FangSong" w:hAnsi="FangSong" w:eastAsia="FangSong" w:cs="FangSong"/>
        <w:sz w:val="29"/>
        <w:szCs w:val="29"/>
        <w:spacing w:val="20"/>
      </w:rPr>
      <w:t xml:space="preserve"> </w:t>
    </w:r>
    <w:r>
      <w:rPr>
        <w:rFonts w:ascii="FangSong" w:hAnsi="FangSong" w:eastAsia="FangSong" w:cs="FangSong"/>
        <w:sz w:val="29"/>
        <w:szCs w:val="29"/>
        <w:spacing w:val="-2"/>
      </w:rPr>
      <w:t>22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2"/>
      </w:rPr>
      <w:t>—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4" w:lineRule="auto"/>
      <w:rPr>
        <w:rFonts w:ascii="Arial"/>
        <w:sz w:val="2"/>
      </w:rPr>
    </w:pPr>
    <w:r/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SimHei" w:hAnsi="SimHei" w:eastAsia="SimHei" w:cs="SimHei"/>
      <w:sz w:val="29"/>
      <w:szCs w:val="29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footer" Target="footer5.xml"/><Relationship Id="rId4" Type="http://schemas.openxmlformats.org/officeDocument/2006/relationships/footer" Target="footer4.xml"/><Relationship Id="rId3" Type="http://schemas.openxmlformats.org/officeDocument/2006/relationships/footer" Target="footer3.xml"/><Relationship Id="rId2" Type="http://schemas.openxmlformats.org/officeDocument/2006/relationships/footer" Target="footer2.xml"/><Relationship Id="rId12" Type="http://schemas.openxmlformats.org/officeDocument/2006/relationships/fontTable" Target="fontTable.xml"/><Relationship Id="rId11" Type="http://schemas.openxmlformats.org/officeDocument/2006/relationships/styles" Target="styles.xml"/><Relationship Id="rId10" Type="http://schemas.openxmlformats.org/officeDocument/2006/relationships/settings" Target="settings.xml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文字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河南省教育厅    河南省财政厅</dc:title>
  <dc:creator>蔡青</dc:creator>
  <dcterms:created xsi:type="dcterms:W3CDTF">2025-10-28T09:13:48Z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2025-10-28T10:27:53</vt:filetime>
  </property>
</Properties>
</file>