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71783F2">
      <w:pPr>
        <w:jc w:val="center"/>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val="en-US" w:eastAsia="zh-CN"/>
        </w:rPr>
        <w:t>郑州轻工业大学</w:t>
      </w:r>
      <w:r>
        <w:rPr>
          <w:rFonts w:hint="eastAsia" w:ascii="方正小标宋简体" w:hAnsi="方正小标宋简体" w:eastAsia="方正小标宋简体" w:cs="方正小标宋简体"/>
          <w:sz w:val="44"/>
          <w:szCs w:val="44"/>
          <w:lang w:eastAsia="zh-CN"/>
        </w:rPr>
        <w:t>科研成果赋权情况表</w:t>
      </w:r>
    </w:p>
    <w:p w14:paraId="40845644">
      <w:pPr>
        <w:spacing w:before="156" w:beforeLines="50"/>
        <w:jc w:val="center"/>
        <w:rPr>
          <w:rFonts w:hint="default" w:ascii="仿宋" w:hAnsi="仿宋" w:eastAsia="仿宋" w:cs="仿宋"/>
          <w:sz w:val="28"/>
          <w:szCs w:val="28"/>
          <w:lang w:val="en-US"/>
        </w:rPr>
      </w:pPr>
      <w:r>
        <w:rPr>
          <w:rFonts w:hint="eastAsia" w:ascii="仿宋" w:hAnsi="仿宋" w:eastAsia="仿宋" w:cs="仿宋"/>
          <w:sz w:val="28"/>
          <w:szCs w:val="28"/>
        </w:rPr>
        <w:t xml:space="preserve">                                                                      时间：202</w:t>
      </w:r>
      <w:r>
        <w:rPr>
          <w:rFonts w:hint="eastAsia" w:ascii="仿宋" w:hAnsi="仿宋" w:eastAsia="仿宋" w:cs="仿宋"/>
          <w:sz w:val="28"/>
          <w:szCs w:val="28"/>
          <w:lang w:val="en-US" w:eastAsia="zh-CN"/>
        </w:rPr>
        <w:t>5</w:t>
      </w:r>
      <w:r>
        <w:rPr>
          <w:rFonts w:hint="eastAsia" w:ascii="仿宋" w:hAnsi="仿宋" w:eastAsia="仿宋" w:cs="仿宋"/>
          <w:sz w:val="28"/>
          <w:szCs w:val="28"/>
        </w:rPr>
        <w:t>年</w:t>
      </w:r>
      <w:r>
        <w:rPr>
          <w:rFonts w:hint="eastAsia" w:ascii="仿宋" w:hAnsi="仿宋" w:eastAsia="仿宋" w:cs="仿宋"/>
          <w:sz w:val="28"/>
          <w:szCs w:val="28"/>
          <w:lang w:val="en-US" w:eastAsia="zh-CN"/>
        </w:rPr>
        <w:t>11</w:t>
      </w:r>
      <w:r>
        <w:rPr>
          <w:rFonts w:hint="eastAsia" w:ascii="仿宋" w:hAnsi="仿宋" w:eastAsia="仿宋" w:cs="仿宋"/>
          <w:sz w:val="28"/>
          <w:szCs w:val="28"/>
        </w:rPr>
        <w:t>月</w:t>
      </w:r>
      <w:r>
        <w:rPr>
          <w:rFonts w:hint="eastAsia" w:ascii="仿宋" w:hAnsi="仿宋" w:eastAsia="仿宋" w:cs="仿宋"/>
          <w:sz w:val="28"/>
          <w:szCs w:val="28"/>
          <w:lang w:val="en-US" w:eastAsia="zh-CN"/>
        </w:rPr>
        <w:t>6</w:t>
      </w:r>
      <w:bookmarkStart w:id="0" w:name="_GoBack"/>
      <w:bookmarkEnd w:id="0"/>
      <w:r>
        <w:rPr>
          <w:rFonts w:hint="eastAsia" w:ascii="仿宋" w:hAnsi="仿宋" w:eastAsia="仿宋" w:cs="仿宋"/>
          <w:sz w:val="28"/>
          <w:szCs w:val="28"/>
          <w:lang w:val="en-US" w:eastAsia="zh-CN"/>
        </w:rPr>
        <w:t>日</w:t>
      </w:r>
    </w:p>
    <w:tbl>
      <w:tblPr>
        <w:tblStyle w:val="2"/>
        <w:tblpPr w:leftFromText="180" w:rightFromText="180" w:vertAnchor="text" w:horzAnchor="page" w:tblpX="1551" w:tblpY="435"/>
        <w:tblOverlap w:val="never"/>
        <w:tblW w:w="1383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4"/>
        <w:gridCol w:w="1301"/>
        <w:gridCol w:w="5882"/>
        <w:gridCol w:w="1595"/>
        <w:gridCol w:w="1381"/>
        <w:gridCol w:w="829"/>
        <w:gridCol w:w="711"/>
        <w:gridCol w:w="1089"/>
        <w:gridCol w:w="505"/>
      </w:tblGrid>
      <w:tr w14:paraId="52E319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6" w:hRule="atLeast"/>
        </w:trPr>
        <w:tc>
          <w:tcPr>
            <w:tcW w:w="544" w:type="dxa"/>
            <w:shd w:val="clear" w:color="auto" w:fill="auto"/>
            <w:noWrap w:val="0"/>
            <w:vAlign w:val="center"/>
          </w:tcPr>
          <w:p w14:paraId="241629A8">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黑体" w:hAnsi="黑体" w:eastAsia="黑体" w:cs="黑体"/>
                <w:sz w:val="24"/>
              </w:rPr>
            </w:pPr>
            <w:r>
              <w:rPr>
                <w:rFonts w:hint="eastAsia" w:ascii="黑体" w:hAnsi="黑体" w:eastAsia="黑体" w:cs="黑体"/>
                <w:sz w:val="24"/>
              </w:rPr>
              <w:t>序号</w:t>
            </w:r>
          </w:p>
        </w:tc>
        <w:tc>
          <w:tcPr>
            <w:tcW w:w="1301" w:type="dxa"/>
            <w:shd w:val="clear" w:color="auto" w:fill="auto"/>
            <w:noWrap w:val="0"/>
            <w:vAlign w:val="center"/>
          </w:tcPr>
          <w:p w14:paraId="064AEABB">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黑体" w:hAnsi="黑体" w:eastAsia="黑体" w:cs="黑体"/>
                <w:sz w:val="24"/>
              </w:rPr>
            </w:pPr>
            <w:r>
              <w:rPr>
                <w:rFonts w:hint="eastAsia" w:ascii="黑体" w:hAnsi="黑体" w:eastAsia="黑体" w:cs="黑体"/>
                <w:sz w:val="24"/>
              </w:rPr>
              <w:t>成果名称</w:t>
            </w:r>
          </w:p>
        </w:tc>
        <w:tc>
          <w:tcPr>
            <w:tcW w:w="5882" w:type="dxa"/>
            <w:shd w:val="clear" w:color="auto" w:fill="auto"/>
            <w:noWrap w:val="0"/>
            <w:vAlign w:val="center"/>
          </w:tcPr>
          <w:p w14:paraId="01B3C990">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黑体" w:hAnsi="黑体" w:eastAsia="黑体" w:cs="黑体"/>
                <w:sz w:val="24"/>
              </w:rPr>
            </w:pPr>
            <w:r>
              <w:rPr>
                <w:rFonts w:hint="eastAsia" w:ascii="黑体" w:hAnsi="黑体" w:eastAsia="黑体" w:cs="黑体"/>
                <w:sz w:val="24"/>
              </w:rPr>
              <w:t>成果内容摘要</w:t>
            </w:r>
          </w:p>
        </w:tc>
        <w:tc>
          <w:tcPr>
            <w:tcW w:w="1595" w:type="dxa"/>
            <w:shd w:val="clear" w:color="auto" w:fill="auto"/>
            <w:noWrap w:val="0"/>
            <w:vAlign w:val="center"/>
          </w:tcPr>
          <w:p w14:paraId="558507A3">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黑体" w:hAnsi="黑体" w:eastAsia="黑体" w:cs="黑体"/>
                <w:sz w:val="24"/>
              </w:rPr>
            </w:pPr>
            <w:r>
              <w:rPr>
                <w:rFonts w:hint="eastAsia" w:ascii="黑体" w:hAnsi="黑体" w:eastAsia="黑体" w:cs="黑体"/>
                <w:sz w:val="24"/>
              </w:rPr>
              <w:t>成果完成人</w:t>
            </w:r>
          </w:p>
        </w:tc>
        <w:tc>
          <w:tcPr>
            <w:tcW w:w="1381" w:type="dxa"/>
            <w:shd w:val="clear" w:color="auto" w:fill="auto"/>
            <w:noWrap w:val="0"/>
            <w:vAlign w:val="center"/>
          </w:tcPr>
          <w:p w14:paraId="57895020">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黑体" w:hAnsi="黑体" w:eastAsia="黑体" w:cs="黑体"/>
                <w:sz w:val="24"/>
                <w:lang w:eastAsia="zh-CN"/>
              </w:rPr>
            </w:pPr>
            <w:r>
              <w:rPr>
                <w:rFonts w:hint="eastAsia" w:ascii="黑体" w:hAnsi="黑体" w:eastAsia="黑体" w:cs="黑体"/>
                <w:sz w:val="24"/>
                <w:lang w:eastAsia="zh-CN"/>
              </w:rPr>
              <w:t>赋权类型</w:t>
            </w:r>
          </w:p>
        </w:tc>
        <w:tc>
          <w:tcPr>
            <w:tcW w:w="829" w:type="dxa"/>
            <w:shd w:val="clear" w:color="auto" w:fill="auto"/>
            <w:noWrap w:val="0"/>
            <w:vAlign w:val="center"/>
          </w:tcPr>
          <w:p w14:paraId="1F3CA31C">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黑体" w:hAnsi="黑体" w:eastAsia="黑体" w:cs="黑体"/>
                <w:sz w:val="24"/>
              </w:rPr>
            </w:pPr>
            <w:r>
              <w:rPr>
                <w:rFonts w:hint="eastAsia" w:ascii="黑体" w:hAnsi="黑体" w:eastAsia="黑体" w:cs="黑体"/>
                <w:sz w:val="24"/>
              </w:rPr>
              <w:t>转化</w:t>
            </w:r>
          </w:p>
          <w:p w14:paraId="13D7BEED">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黑体" w:hAnsi="黑体" w:eastAsia="黑体" w:cs="黑体"/>
                <w:sz w:val="24"/>
              </w:rPr>
            </w:pPr>
            <w:r>
              <w:rPr>
                <w:rFonts w:hint="eastAsia" w:ascii="黑体" w:hAnsi="黑体" w:eastAsia="黑体" w:cs="黑体"/>
                <w:sz w:val="24"/>
              </w:rPr>
              <w:t>方式</w:t>
            </w:r>
          </w:p>
        </w:tc>
        <w:tc>
          <w:tcPr>
            <w:tcW w:w="711" w:type="dxa"/>
            <w:shd w:val="clear" w:color="auto" w:fill="auto"/>
            <w:noWrap w:val="0"/>
            <w:vAlign w:val="center"/>
          </w:tcPr>
          <w:p w14:paraId="05106819">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黑体" w:hAnsi="黑体" w:eastAsia="黑体" w:cs="黑体"/>
                <w:sz w:val="24"/>
              </w:rPr>
            </w:pPr>
            <w:r>
              <w:rPr>
                <w:rFonts w:hint="eastAsia" w:ascii="黑体" w:hAnsi="黑体" w:eastAsia="黑体" w:cs="黑体"/>
                <w:sz w:val="24"/>
              </w:rPr>
              <w:t>交易金额（万</w:t>
            </w:r>
            <w:r>
              <w:rPr>
                <w:rFonts w:hint="eastAsia" w:ascii="黑体" w:hAnsi="黑体" w:eastAsia="黑体" w:cs="黑体"/>
                <w:sz w:val="24"/>
                <w:lang w:val="en-US" w:eastAsia="zh-CN"/>
              </w:rPr>
              <w:t>元</w:t>
            </w:r>
            <w:r>
              <w:rPr>
                <w:rFonts w:hint="eastAsia" w:ascii="黑体" w:hAnsi="黑体" w:eastAsia="黑体" w:cs="黑体"/>
                <w:sz w:val="24"/>
              </w:rPr>
              <w:t>）</w:t>
            </w:r>
          </w:p>
        </w:tc>
        <w:tc>
          <w:tcPr>
            <w:tcW w:w="1089" w:type="dxa"/>
            <w:shd w:val="clear" w:color="auto" w:fill="auto"/>
            <w:noWrap w:val="0"/>
            <w:vAlign w:val="center"/>
          </w:tcPr>
          <w:p w14:paraId="077028AC">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黑体" w:hAnsi="黑体" w:eastAsia="黑体" w:cs="黑体"/>
                <w:sz w:val="24"/>
              </w:rPr>
            </w:pPr>
            <w:r>
              <w:rPr>
                <w:rFonts w:hint="eastAsia" w:ascii="黑体" w:hAnsi="黑体" w:eastAsia="黑体" w:cs="黑体"/>
                <w:sz w:val="24"/>
              </w:rPr>
              <w:t>受让方</w:t>
            </w:r>
          </w:p>
        </w:tc>
        <w:tc>
          <w:tcPr>
            <w:tcW w:w="505" w:type="dxa"/>
            <w:shd w:val="clear" w:color="auto" w:fill="auto"/>
            <w:noWrap w:val="0"/>
            <w:vAlign w:val="center"/>
          </w:tcPr>
          <w:p w14:paraId="69D4FD70">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黑体" w:hAnsi="黑体" w:eastAsia="黑体" w:cs="黑体"/>
                <w:sz w:val="24"/>
              </w:rPr>
            </w:pPr>
            <w:r>
              <w:rPr>
                <w:rFonts w:hint="eastAsia" w:ascii="黑体" w:hAnsi="黑体" w:eastAsia="黑体" w:cs="黑体"/>
                <w:sz w:val="24"/>
              </w:rPr>
              <w:t>备注</w:t>
            </w:r>
          </w:p>
        </w:tc>
      </w:tr>
      <w:tr w14:paraId="65B365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noWrap w:val="0"/>
            <w:vAlign w:val="center"/>
          </w:tcPr>
          <w:p w14:paraId="4F03CF4C">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黑体" w:hAnsi="黑体" w:eastAsia="黑体" w:cs="黑体"/>
                <w:sz w:val="22"/>
                <w:szCs w:val="22"/>
                <w:lang w:val="en-US" w:eastAsia="zh-CN"/>
              </w:rPr>
            </w:pPr>
            <w:r>
              <w:rPr>
                <w:rFonts w:hint="eastAsia" w:ascii="黑体" w:hAnsi="黑体" w:eastAsia="黑体" w:cs="黑体"/>
                <w:sz w:val="22"/>
                <w:szCs w:val="22"/>
                <w:lang w:val="en-US" w:eastAsia="zh-CN"/>
              </w:rPr>
              <w:t>1</w:t>
            </w:r>
          </w:p>
        </w:tc>
        <w:tc>
          <w:tcPr>
            <w:tcW w:w="1301" w:type="dxa"/>
            <w:shd w:val="clear" w:color="auto" w:fill="auto"/>
            <w:noWrap w:val="0"/>
            <w:vAlign w:val="center"/>
          </w:tcPr>
          <w:p w14:paraId="787BCFD4">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基于不同光谱的多层半透明体系的光学性能模拟方法</w:t>
            </w:r>
          </w:p>
        </w:tc>
        <w:tc>
          <w:tcPr>
            <w:tcW w:w="5882" w:type="dxa"/>
            <w:shd w:val="clear" w:color="auto" w:fill="auto"/>
            <w:noWrap w:val="0"/>
            <w:vAlign w:val="center"/>
          </w:tcPr>
          <w:p w14:paraId="5F1F1EDB">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本发明公开一种可以准确模型多层半透明体系太阳辐射透过率的方法，该方法考虑了不同层材料的光谱性能差异以及入射角变化的影响。根据各层材料的光谱物性参数（消光系数和折射指数），结合半透明体系的光学模型和太阳辐射光谱分布，可以准确模拟复杂结构下半透明体系的太阳辐射透过率。模型首先根据各层材料的光谱光学性能（透过率和反射率），建立模型反算单层材料的光谱消光系数和光谱折射指数，再结合半透明体系的光学模型和逐时太阳高度角，模拟多层结构下半透明体系的光学性能，最后结合太阳辐射光谱分布，计算得到多层结构半透明体系的太阳辐射透过率，并将实验结果用于模拟真实情况下半透明体系的光学性能，模拟结果和实验结果进行对比验证。为研究半透明门窗窗户的光学性能和传热性能计算和分析提供条件。</w:t>
            </w:r>
          </w:p>
        </w:tc>
        <w:tc>
          <w:tcPr>
            <w:tcW w:w="1595" w:type="dxa"/>
            <w:shd w:val="clear" w:color="auto" w:fill="auto"/>
            <w:noWrap w:val="0"/>
            <w:vAlign w:val="center"/>
          </w:tcPr>
          <w:p w14:paraId="1852A44E">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刘洋;</w:t>
            </w:r>
          </w:p>
          <w:p w14:paraId="16B1AD23">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胡张保;严佳敏;遆曙光;王浩鹏;高柯</w:t>
            </w:r>
          </w:p>
        </w:tc>
        <w:tc>
          <w:tcPr>
            <w:tcW w:w="1381" w:type="dxa"/>
            <w:shd w:val="clear" w:color="auto" w:fill="auto"/>
            <w:noWrap w:val="0"/>
            <w:vAlign w:val="center"/>
          </w:tcPr>
          <w:p w14:paraId="1B259628">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default"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长期使用权（10年）</w:t>
            </w:r>
          </w:p>
        </w:tc>
        <w:tc>
          <w:tcPr>
            <w:tcW w:w="829" w:type="dxa"/>
            <w:shd w:val="clear" w:color="auto" w:fill="auto"/>
            <w:noWrap w:val="0"/>
            <w:vAlign w:val="center"/>
          </w:tcPr>
          <w:p w14:paraId="65ED8E2A">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default"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技术许可</w:t>
            </w:r>
          </w:p>
          <w:p w14:paraId="3B4C0CA6">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p>
        </w:tc>
        <w:tc>
          <w:tcPr>
            <w:tcW w:w="711" w:type="dxa"/>
            <w:shd w:val="clear" w:color="auto" w:fill="auto"/>
            <w:noWrap w:val="0"/>
            <w:vAlign w:val="center"/>
          </w:tcPr>
          <w:p w14:paraId="550338BF">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default"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3</w:t>
            </w:r>
          </w:p>
        </w:tc>
        <w:tc>
          <w:tcPr>
            <w:tcW w:w="1089" w:type="dxa"/>
            <w:shd w:val="clear" w:color="auto" w:fill="auto"/>
            <w:noWrap w:val="0"/>
            <w:vAlign w:val="center"/>
          </w:tcPr>
          <w:p w14:paraId="402350FC">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河南建艺工程设计咨询有限公司</w:t>
            </w:r>
          </w:p>
        </w:tc>
        <w:tc>
          <w:tcPr>
            <w:tcW w:w="505" w:type="dxa"/>
            <w:shd w:val="clear" w:color="auto" w:fill="auto"/>
            <w:noWrap w:val="0"/>
            <w:vAlign w:val="center"/>
          </w:tcPr>
          <w:p w14:paraId="366DE7A0">
            <w:pPr>
              <w:keepNext w:val="0"/>
              <w:keepLines w:val="0"/>
              <w:pageBreakBefore w:val="0"/>
              <w:widowControl w:val="0"/>
              <w:kinsoku/>
              <w:wordWrap/>
              <w:overflowPunct/>
              <w:topLinePunct w:val="0"/>
              <w:autoSpaceDE/>
              <w:autoSpaceDN/>
              <w:bidi w:val="0"/>
              <w:adjustRightInd/>
              <w:spacing w:line="640" w:lineRule="exact"/>
              <w:jc w:val="center"/>
              <w:textAlignment w:val="auto"/>
              <w:rPr>
                <w:rFonts w:hint="eastAsia" w:ascii="仿宋" w:hAnsi="仿宋" w:eastAsia="仿宋" w:cs="仿宋"/>
                <w:kern w:val="2"/>
                <w:sz w:val="22"/>
                <w:szCs w:val="22"/>
                <w:lang w:val="en-US" w:eastAsia="zh-CN" w:bidi="ar-SA"/>
              </w:rPr>
            </w:pPr>
          </w:p>
        </w:tc>
      </w:tr>
      <w:tr w14:paraId="54F3FD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noWrap w:val="0"/>
            <w:vAlign w:val="center"/>
          </w:tcPr>
          <w:p w14:paraId="66039DB8">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2</w:t>
            </w:r>
          </w:p>
        </w:tc>
        <w:tc>
          <w:tcPr>
            <w:tcW w:w="1301" w:type="dxa"/>
            <w:shd w:val="clear" w:color="auto" w:fill="auto"/>
            <w:noWrap w:val="0"/>
            <w:vAlign w:val="center"/>
          </w:tcPr>
          <w:p w14:paraId="21577ADF">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一种煤矿钻孔用定点封孔装置</w:t>
            </w:r>
          </w:p>
        </w:tc>
        <w:tc>
          <w:tcPr>
            <w:tcW w:w="5882" w:type="dxa"/>
            <w:shd w:val="clear" w:color="auto" w:fill="auto"/>
            <w:noWrap w:val="0"/>
            <w:vAlign w:val="center"/>
          </w:tcPr>
          <w:p w14:paraId="5BF5776A">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一种煤矿钻孔用定点封孔装置，涉及煤矿钻孔封堵技术领域，包括：固定轴；定位锁定装置，固定在固定轴上；调节组件，转动设置在固定轴的中部；驱动组件，转动设置在定位锁定装置的一端，与调节组件相连接；封孔装置，固定在定位锁定装置上，与调节组件转动连接；推送轴，与固定轴可控连接。本发明符合市场对煤层气高效、安全开发的需求，在能源开发领域具有良好的市场转化价值。</w:t>
            </w:r>
          </w:p>
        </w:tc>
        <w:tc>
          <w:tcPr>
            <w:tcW w:w="1595" w:type="dxa"/>
            <w:shd w:val="clear" w:color="auto" w:fill="auto"/>
            <w:noWrap w:val="0"/>
            <w:vAlign w:val="center"/>
          </w:tcPr>
          <w:p w14:paraId="3EA0DAF2">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娄振,魏晓鸽,吴则琪,宋怀涛,秦恒洁,付建华,姚浩伟,岳基伟,张嘉勇,崔啸,闫发志,李振,居萌萌,何晨阳,李有瀚,翟奕轩</w:t>
            </w:r>
          </w:p>
        </w:tc>
        <w:tc>
          <w:tcPr>
            <w:tcW w:w="1381" w:type="dxa"/>
            <w:shd w:val="clear" w:color="auto" w:fill="auto"/>
            <w:noWrap w:val="0"/>
            <w:vAlign w:val="center"/>
          </w:tcPr>
          <w:p w14:paraId="26A1A5CD">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长期使用权（10年）</w:t>
            </w:r>
          </w:p>
        </w:tc>
        <w:tc>
          <w:tcPr>
            <w:tcW w:w="829" w:type="dxa"/>
            <w:shd w:val="clear" w:color="auto" w:fill="auto"/>
            <w:noWrap w:val="0"/>
            <w:vAlign w:val="center"/>
          </w:tcPr>
          <w:p w14:paraId="107F1412">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技术许可</w:t>
            </w:r>
          </w:p>
          <w:p w14:paraId="45CCCDAA">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p>
        </w:tc>
        <w:tc>
          <w:tcPr>
            <w:tcW w:w="711" w:type="dxa"/>
            <w:shd w:val="clear" w:color="auto" w:fill="auto"/>
            <w:noWrap w:val="0"/>
            <w:vAlign w:val="center"/>
          </w:tcPr>
          <w:p w14:paraId="4F0F12F3">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3.3</w:t>
            </w:r>
          </w:p>
        </w:tc>
        <w:tc>
          <w:tcPr>
            <w:tcW w:w="1089" w:type="dxa"/>
            <w:shd w:val="clear" w:color="auto" w:fill="auto"/>
            <w:noWrap w:val="0"/>
            <w:vAlign w:val="center"/>
          </w:tcPr>
          <w:p w14:paraId="427E17AC">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河南庭源能源科技有限公司</w:t>
            </w:r>
          </w:p>
        </w:tc>
        <w:tc>
          <w:tcPr>
            <w:tcW w:w="505" w:type="dxa"/>
            <w:shd w:val="clear" w:color="auto" w:fill="auto"/>
            <w:noWrap w:val="0"/>
            <w:vAlign w:val="center"/>
          </w:tcPr>
          <w:p w14:paraId="1008C16B">
            <w:pPr>
              <w:keepNext w:val="0"/>
              <w:keepLines w:val="0"/>
              <w:pageBreakBefore w:val="0"/>
              <w:widowControl w:val="0"/>
              <w:kinsoku/>
              <w:wordWrap/>
              <w:overflowPunct/>
              <w:topLinePunct w:val="0"/>
              <w:autoSpaceDE/>
              <w:autoSpaceDN/>
              <w:bidi w:val="0"/>
              <w:adjustRightInd/>
              <w:spacing w:line="640" w:lineRule="exact"/>
              <w:jc w:val="center"/>
              <w:textAlignment w:val="auto"/>
              <w:rPr>
                <w:rFonts w:hint="eastAsia" w:ascii="仿宋" w:hAnsi="仿宋" w:eastAsia="仿宋" w:cs="仿宋"/>
                <w:kern w:val="2"/>
                <w:sz w:val="22"/>
                <w:szCs w:val="22"/>
                <w:lang w:val="en-US" w:eastAsia="zh-CN" w:bidi="ar-SA"/>
              </w:rPr>
            </w:pPr>
          </w:p>
        </w:tc>
      </w:tr>
      <w:tr w14:paraId="29AA11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noWrap w:val="0"/>
            <w:vAlign w:val="center"/>
          </w:tcPr>
          <w:p w14:paraId="422F5348">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3</w:t>
            </w:r>
          </w:p>
        </w:tc>
        <w:tc>
          <w:tcPr>
            <w:tcW w:w="1301" w:type="dxa"/>
            <w:shd w:val="clear" w:color="auto" w:fill="auto"/>
            <w:noWrap w:val="0"/>
            <w:vAlign w:val="center"/>
          </w:tcPr>
          <w:p w14:paraId="7A80F973">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一种高空坠楼损伤硬盘保护装置</w:t>
            </w:r>
          </w:p>
        </w:tc>
        <w:tc>
          <w:tcPr>
            <w:tcW w:w="5882" w:type="dxa"/>
            <w:shd w:val="clear" w:color="auto" w:fill="auto"/>
            <w:noWrap w:val="0"/>
            <w:vAlign w:val="center"/>
          </w:tcPr>
          <w:p w14:paraId="7DAFC84F">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一种插入式移动硬盘保护装置，通过在盒体上设置护盖，盒体内设置支撑装置、固定装置、伞包装置和重力装置，以此来达到有效保护硬盘不受损坏的目的。本发明结构简单、操作便捷，可有效防止硬盘在掉落后遭到损坏，提高了硬盘的使用寿命，降低了用户的经济损失和数据损失。</w:t>
            </w:r>
          </w:p>
        </w:tc>
        <w:tc>
          <w:tcPr>
            <w:tcW w:w="1595" w:type="dxa"/>
            <w:shd w:val="clear" w:color="auto" w:fill="auto"/>
            <w:noWrap w:val="0"/>
            <w:vAlign w:val="center"/>
          </w:tcPr>
          <w:p w14:paraId="2C15EF32">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崔霄、胡春晖、张王卫、李保环、李天赐</w:t>
            </w:r>
          </w:p>
        </w:tc>
        <w:tc>
          <w:tcPr>
            <w:tcW w:w="1381" w:type="dxa"/>
            <w:shd w:val="clear" w:color="auto" w:fill="auto"/>
            <w:noWrap w:val="0"/>
            <w:vAlign w:val="center"/>
          </w:tcPr>
          <w:p w14:paraId="4D38443E">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所有权（学校10%，成果完成团队90%）</w:t>
            </w:r>
          </w:p>
        </w:tc>
        <w:tc>
          <w:tcPr>
            <w:tcW w:w="829" w:type="dxa"/>
            <w:shd w:val="clear" w:color="auto" w:fill="auto"/>
            <w:noWrap w:val="0"/>
            <w:vAlign w:val="center"/>
          </w:tcPr>
          <w:p w14:paraId="3C8E8CC2">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技术转让</w:t>
            </w:r>
          </w:p>
        </w:tc>
        <w:tc>
          <w:tcPr>
            <w:tcW w:w="711" w:type="dxa"/>
            <w:shd w:val="clear" w:color="auto" w:fill="auto"/>
            <w:noWrap w:val="0"/>
            <w:vAlign w:val="center"/>
          </w:tcPr>
          <w:p w14:paraId="67DCBF0E">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3.02</w:t>
            </w:r>
          </w:p>
        </w:tc>
        <w:tc>
          <w:tcPr>
            <w:tcW w:w="1089" w:type="dxa"/>
            <w:shd w:val="clear" w:color="auto" w:fill="auto"/>
            <w:noWrap w:val="0"/>
            <w:vAlign w:val="center"/>
          </w:tcPr>
          <w:p w14:paraId="031117B5">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河南宏夏信息科技有限公司</w:t>
            </w:r>
          </w:p>
        </w:tc>
        <w:tc>
          <w:tcPr>
            <w:tcW w:w="505" w:type="dxa"/>
            <w:shd w:val="clear" w:color="auto" w:fill="auto"/>
            <w:noWrap w:val="0"/>
            <w:vAlign w:val="center"/>
          </w:tcPr>
          <w:p w14:paraId="45A85006">
            <w:pPr>
              <w:keepNext w:val="0"/>
              <w:keepLines w:val="0"/>
              <w:pageBreakBefore w:val="0"/>
              <w:widowControl w:val="0"/>
              <w:kinsoku/>
              <w:wordWrap/>
              <w:overflowPunct/>
              <w:topLinePunct w:val="0"/>
              <w:autoSpaceDE/>
              <w:autoSpaceDN/>
              <w:bidi w:val="0"/>
              <w:adjustRightInd/>
              <w:spacing w:line="640" w:lineRule="exact"/>
              <w:jc w:val="center"/>
              <w:textAlignment w:val="auto"/>
              <w:rPr>
                <w:rFonts w:hint="eastAsia" w:ascii="仿宋" w:hAnsi="仿宋" w:eastAsia="仿宋" w:cs="仿宋"/>
                <w:kern w:val="2"/>
                <w:sz w:val="28"/>
                <w:szCs w:val="28"/>
                <w:lang w:val="en-US" w:eastAsia="zh-CN" w:bidi="ar-SA"/>
              </w:rPr>
            </w:pPr>
          </w:p>
        </w:tc>
      </w:tr>
      <w:tr w14:paraId="740DE1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noWrap w:val="0"/>
            <w:vAlign w:val="center"/>
          </w:tcPr>
          <w:p w14:paraId="76B03EBE">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4</w:t>
            </w:r>
          </w:p>
        </w:tc>
        <w:tc>
          <w:tcPr>
            <w:tcW w:w="1301" w:type="dxa"/>
            <w:shd w:val="clear" w:color="auto" w:fill="auto"/>
            <w:noWrap w:val="0"/>
            <w:vAlign w:val="center"/>
          </w:tcPr>
          <w:p w14:paraId="0F2FAFC8">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软件开发规划展示板</w:t>
            </w:r>
          </w:p>
        </w:tc>
        <w:tc>
          <w:tcPr>
            <w:tcW w:w="5882" w:type="dxa"/>
            <w:shd w:val="clear" w:color="auto" w:fill="auto"/>
            <w:noWrap w:val="0"/>
            <w:vAlign w:val="center"/>
          </w:tcPr>
          <w:p w14:paraId="0A6444AB">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软件开发规划展示板，其包括安装壳,所述安装壳上下两端对称固定安装有四个安装板，四个所述安装板分别套装于四个展示板内，四个所述展示板靠近安装壳一端均开设有安装槽，且四个所述安装板分别位于四个安装槽内,位于安装壳同一侧的两个安装板相互靠近一端面均沿竖直方向上固定安装有齿条，所述齿条上啮合有齿轮,所述齿轮固定套装于安装螺杆上，所述安装螺杆后端穿过展示板，并延伸至展示板后侧,本实用新型展示效果好，便于安装拆卸,便于存放,实用性高。</w:t>
            </w:r>
          </w:p>
        </w:tc>
        <w:tc>
          <w:tcPr>
            <w:tcW w:w="1595" w:type="dxa"/>
            <w:shd w:val="clear" w:color="auto" w:fill="auto"/>
            <w:noWrap w:val="0"/>
            <w:vAlign w:val="center"/>
          </w:tcPr>
          <w:p w14:paraId="4AF05290">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张王卫、申俊超、王赟</w:t>
            </w:r>
          </w:p>
        </w:tc>
        <w:tc>
          <w:tcPr>
            <w:tcW w:w="1381" w:type="dxa"/>
            <w:shd w:val="clear" w:color="auto" w:fill="auto"/>
            <w:noWrap w:val="0"/>
            <w:vAlign w:val="center"/>
          </w:tcPr>
          <w:p w14:paraId="551D0AFB">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所有权（学校10%，成果完成团队90%）</w:t>
            </w:r>
          </w:p>
        </w:tc>
        <w:tc>
          <w:tcPr>
            <w:tcW w:w="829" w:type="dxa"/>
            <w:shd w:val="clear" w:color="auto" w:fill="auto"/>
            <w:noWrap w:val="0"/>
            <w:vAlign w:val="center"/>
          </w:tcPr>
          <w:p w14:paraId="6DA4AD7F">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技术转让</w:t>
            </w:r>
          </w:p>
        </w:tc>
        <w:tc>
          <w:tcPr>
            <w:tcW w:w="711" w:type="dxa"/>
            <w:shd w:val="clear" w:color="auto" w:fill="auto"/>
            <w:noWrap w:val="0"/>
            <w:vAlign w:val="center"/>
          </w:tcPr>
          <w:p w14:paraId="4F397368">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3.01</w:t>
            </w:r>
          </w:p>
        </w:tc>
        <w:tc>
          <w:tcPr>
            <w:tcW w:w="1089" w:type="dxa"/>
            <w:shd w:val="clear" w:color="auto" w:fill="auto"/>
            <w:noWrap w:val="0"/>
            <w:vAlign w:val="center"/>
          </w:tcPr>
          <w:p w14:paraId="6221D6FE">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河南宏夏信息科技有限公司</w:t>
            </w:r>
          </w:p>
        </w:tc>
        <w:tc>
          <w:tcPr>
            <w:tcW w:w="505" w:type="dxa"/>
            <w:shd w:val="clear" w:color="auto" w:fill="auto"/>
            <w:noWrap w:val="0"/>
            <w:vAlign w:val="center"/>
          </w:tcPr>
          <w:p w14:paraId="15313022">
            <w:pPr>
              <w:keepNext w:val="0"/>
              <w:keepLines w:val="0"/>
              <w:pageBreakBefore w:val="0"/>
              <w:widowControl w:val="0"/>
              <w:kinsoku/>
              <w:wordWrap/>
              <w:overflowPunct/>
              <w:topLinePunct w:val="0"/>
              <w:autoSpaceDE/>
              <w:autoSpaceDN/>
              <w:bidi w:val="0"/>
              <w:adjustRightInd/>
              <w:spacing w:line="640" w:lineRule="exact"/>
              <w:jc w:val="center"/>
              <w:textAlignment w:val="auto"/>
              <w:rPr>
                <w:rFonts w:hint="eastAsia" w:ascii="仿宋" w:hAnsi="仿宋" w:eastAsia="仿宋" w:cs="仿宋"/>
                <w:kern w:val="2"/>
                <w:sz w:val="22"/>
                <w:szCs w:val="22"/>
                <w:lang w:val="en-US" w:eastAsia="zh-CN" w:bidi="ar-SA"/>
              </w:rPr>
            </w:pPr>
          </w:p>
        </w:tc>
      </w:tr>
      <w:tr w14:paraId="77F76B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noWrap w:val="0"/>
            <w:vAlign w:val="center"/>
          </w:tcPr>
          <w:p w14:paraId="41494212">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5</w:t>
            </w:r>
          </w:p>
        </w:tc>
        <w:tc>
          <w:tcPr>
            <w:tcW w:w="1301" w:type="dxa"/>
            <w:shd w:val="clear" w:color="auto" w:fill="auto"/>
            <w:noWrap w:val="0"/>
            <w:vAlign w:val="center"/>
          </w:tcPr>
          <w:p w14:paraId="23F23547">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p>
        </w:tc>
        <w:tc>
          <w:tcPr>
            <w:tcW w:w="5882" w:type="dxa"/>
            <w:shd w:val="clear" w:color="auto" w:fill="auto"/>
            <w:noWrap w:val="0"/>
            <w:vAlign w:val="top"/>
          </w:tcPr>
          <w:p w14:paraId="775994EF">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本成果提出了一种基于LED白光穿透成像技术和方法获得籽棉的透射图像，根据相应的图像出来算法识别出籽棉中棉籽个数，进而通过单个棉籽的统计均值，可以获得样棉中棉籽的重量并计算出籽棉衣分率。设备包括：称重模块，其上设置有玻璃样品台，用于盛放籽棉样品；LED白光平板灯，其发出白光照射在盛放于玻璃样品台上的籽棉上；彩色相机模块，用于对盛放于玻璃样品台上的籽棉进行成像；微型计算机，用于接收称重模块得到的籽棉的重量数据和彩色相机模块得到的图像数据，对图像数据进行处理，得到籽棉中的皮棉的重量值，进而得到籽棉的衣分率。根据本发明的籽棉衣分率检测方法具有自动化、快速、 无损、标准化等优势。</w:t>
            </w:r>
          </w:p>
        </w:tc>
        <w:tc>
          <w:tcPr>
            <w:tcW w:w="1595" w:type="dxa"/>
            <w:shd w:val="clear" w:color="auto" w:fill="auto"/>
            <w:noWrap w:val="0"/>
            <w:vAlign w:val="top"/>
          </w:tcPr>
          <w:p w14:paraId="29F6C87D">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耿利杰、周芳华、任宇芬、闫鹏吉、付强、梁俊铭、唐帅、张志峰、蒋逢春、苏玉玲</w:t>
            </w:r>
          </w:p>
        </w:tc>
        <w:tc>
          <w:tcPr>
            <w:tcW w:w="1381" w:type="dxa"/>
            <w:shd w:val="clear" w:color="auto" w:fill="auto"/>
            <w:noWrap w:val="0"/>
            <w:vAlign w:val="center"/>
          </w:tcPr>
          <w:p w14:paraId="641B6E80">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长期使用权（10年）</w:t>
            </w:r>
          </w:p>
        </w:tc>
        <w:tc>
          <w:tcPr>
            <w:tcW w:w="829" w:type="dxa"/>
            <w:vMerge w:val="restart"/>
            <w:shd w:val="clear" w:color="auto" w:fill="auto"/>
            <w:noWrap w:val="0"/>
            <w:vAlign w:val="center"/>
          </w:tcPr>
          <w:p w14:paraId="32A8CB71">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技术许可</w:t>
            </w:r>
          </w:p>
          <w:p w14:paraId="70DE88B8">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p>
        </w:tc>
        <w:tc>
          <w:tcPr>
            <w:tcW w:w="711" w:type="dxa"/>
            <w:vMerge w:val="restart"/>
            <w:shd w:val="clear" w:color="auto" w:fill="auto"/>
            <w:noWrap w:val="0"/>
            <w:vAlign w:val="center"/>
          </w:tcPr>
          <w:p w14:paraId="74ED7B1F">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default"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15.8</w:t>
            </w:r>
          </w:p>
        </w:tc>
        <w:tc>
          <w:tcPr>
            <w:tcW w:w="1089" w:type="dxa"/>
            <w:vMerge w:val="restart"/>
            <w:shd w:val="clear" w:color="auto" w:fill="auto"/>
            <w:noWrap w:val="0"/>
            <w:vAlign w:val="center"/>
          </w:tcPr>
          <w:p w14:paraId="0E2EB514">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4"/>
              </w:rPr>
              <w:t>郑州纤峰科技有限公司</w:t>
            </w:r>
          </w:p>
        </w:tc>
        <w:tc>
          <w:tcPr>
            <w:tcW w:w="505" w:type="dxa"/>
            <w:shd w:val="clear" w:color="auto" w:fill="auto"/>
            <w:noWrap w:val="0"/>
            <w:vAlign w:val="center"/>
          </w:tcPr>
          <w:p w14:paraId="21F05B87">
            <w:pPr>
              <w:keepNext w:val="0"/>
              <w:keepLines w:val="0"/>
              <w:pageBreakBefore w:val="0"/>
              <w:widowControl w:val="0"/>
              <w:kinsoku/>
              <w:wordWrap/>
              <w:overflowPunct/>
              <w:topLinePunct w:val="0"/>
              <w:autoSpaceDE/>
              <w:autoSpaceDN/>
              <w:bidi w:val="0"/>
              <w:adjustRightInd/>
              <w:spacing w:line="640" w:lineRule="exact"/>
              <w:jc w:val="center"/>
              <w:textAlignment w:val="auto"/>
              <w:rPr>
                <w:rFonts w:hint="eastAsia" w:ascii="仿宋" w:hAnsi="仿宋" w:eastAsia="仿宋" w:cs="仿宋"/>
                <w:kern w:val="2"/>
                <w:sz w:val="22"/>
                <w:szCs w:val="22"/>
                <w:lang w:val="en-US" w:eastAsia="zh-CN" w:bidi="ar-SA"/>
              </w:rPr>
            </w:pPr>
          </w:p>
        </w:tc>
      </w:tr>
      <w:tr w14:paraId="057317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9" w:hRule="atLeast"/>
        </w:trPr>
        <w:tc>
          <w:tcPr>
            <w:tcW w:w="544" w:type="dxa"/>
            <w:shd w:val="clear" w:color="auto" w:fill="auto"/>
            <w:noWrap w:val="0"/>
            <w:vAlign w:val="center"/>
          </w:tcPr>
          <w:p w14:paraId="34A91722">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6</w:t>
            </w:r>
          </w:p>
        </w:tc>
        <w:tc>
          <w:tcPr>
            <w:tcW w:w="1301" w:type="dxa"/>
            <w:shd w:val="clear" w:color="auto" w:fill="auto"/>
            <w:noWrap w:val="0"/>
            <w:vAlign w:val="center"/>
          </w:tcPr>
          <w:p w14:paraId="1BFAD02B">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p>
        </w:tc>
        <w:tc>
          <w:tcPr>
            <w:tcW w:w="5882" w:type="dxa"/>
            <w:shd w:val="clear" w:color="auto" w:fill="auto"/>
            <w:noWrap w:val="0"/>
            <w:vAlign w:val="top"/>
          </w:tcPr>
          <w:p w14:paraId="533ACED9">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本成果提出一种基于红外激光穿透成像技术获得清晰的籽棉红外穿透图像，进而根据图像目标识别算法，识别并统计籽棉中棉籽的个数，进而计算出棉籽的总重量。称重模块获得样棉的重量，进而根据衣分率计算公式，自动获得籽棉衣分率值。设备包括：称重模块，其上设置有玻璃样品台，用于盛放籽棉样品；红外激光、准直镜组、红外面阵相机、分区放置的玻璃样品台、微型计算机等构成。石英玻璃样品台，呈正方形，用于盛放籽棉，且被分成面积相等的四部分，石英玻璃样品台能够绕中心旋转；红外激光是808nm半导体激光器，以及通过光纤与808nm半导体激光器相连的激光准直器，二者位于所述石英玻璃样品台正上方；凸透镜，位于石英玻璃样品台正下方；透镜将透射的红外光聚焦到红外相机上。根据本发明的籽棉衣分率检测方法具有自动化、快速、 无损、标准化等优势。</w:t>
            </w:r>
          </w:p>
        </w:tc>
        <w:tc>
          <w:tcPr>
            <w:tcW w:w="1595" w:type="dxa"/>
            <w:shd w:val="clear" w:color="auto" w:fill="auto"/>
            <w:noWrap w:val="0"/>
            <w:vAlign w:val="top"/>
          </w:tcPr>
          <w:p w14:paraId="70D0AF17">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耿利杰、赵志明、杨鹏、闫鹏吉、李文秘、付强、李勃贤、翟玉生、杨坤、苏玉玲</w:t>
            </w:r>
          </w:p>
        </w:tc>
        <w:tc>
          <w:tcPr>
            <w:tcW w:w="1381" w:type="dxa"/>
            <w:shd w:val="clear" w:color="auto" w:fill="auto"/>
            <w:noWrap w:val="0"/>
            <w:vAlign w:val="center"/>
          </w:tcPr>
          <w:p w14:paraId="28E4043F">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长期使用权（10年）</w:t>
            </w:r>
          </w:p>
        </w:tc>
        <w:tc>
          <w:tcPr>
            <w:tcW w:w="829" w:type="dxa"/>
            <w:vMerge w:val="continue"/>
            <w:tcBorders/>
            <w:shd w:val="clear" w:color="auto" w:fill="auto"/>
            <w:noWrap w:val="0"/>
            <w:vAlign w:val="center"/>
          </w:tcPr>
          <w:p w14:paraId="50DFE474">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p>
        </w:tc>
        <w:tc>
          <w:tcPr>
            <w:tcW w:w="711" w:type="dxa"/>
            <w:vMerge w:val="continue"/>
            <w:tcBorders/>
            <w:shd w:val="clear" w:color="auto" w:fill="auto"/>
            <w:noWrap w:val="0"/>
            <w:vAlign w:val="center"/>
          </w:tcPr>
          <w:p w14:paraId="0B401D4B">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p>
        </w:tc>
        <w:tc>
          <w:tcPr>
            <w:tcW w:w="1089" w:type="dxa"/>
            <w:vMerge w:val="continue"/>
            <w:tcBorders/>
            <w:shd w:val="clear" w:color="auto" w:fill="auto"/>
            <w:noWrap w:val="0"/>
            <w:vAlign w:val="center"/>
          </w:tcPr>
          <w:p w14:paraId="4ABA9259">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p>
        </w:tc>
        <w:tc>
          <w:tcPr>
            <w:tcW w:w="505" w:type="dxa"/>
            <w:shd w:val="clear" w:color="auto" w:fill="auto"/>
            <w:noWrap w:val="0"/>
            <w:vAlign w:val="center"/>
          </w:tcPr>
          <w:p w14:paraId="0E698D12">
            <w:pPr>
              <w:keepNext w:val="0"/>
              <w:keepLines w:val="0"/>
              <w:pageBreakBefore w:val="0"/>
              <w:widowControl w:val="0"/>
              <w:kinsoku/>
              <w:wordWrap/>
              <w:overflowPunct/>
              <w:topLinePunct w:val="0"/>
              <w:autoSpaceDE/>
              <w:autoSpaceDN/>
              <w:bidi w:val="0"/>
              <w:adjustRightInd/>
              <w:spacing w:line="640" w:lineRule="exact"/>
              <w:jc w:val="center"/>
              <w:textAlignment w:val="auto"/>
              <w:rPr>
                <w:rFonts w:hint="eastAsia" w:ascii="仿宋" w:hAnsi="仿宋" w:eastAsia="仿宋" w:cs="仿宋"/>
                <w:kern w:val="2"/>
                <w:sz w:val="22"/>
                <w:szCs w:val="22"/>
                <w:lang w:val="en-US" w:eastAsia="zh-CN" w:bidi="ar-SA"/>
              </w:rPr>
            </w:pPr>
          </w:p>
        </w:tc>
      </w:tr>
      <w:tr w14:paraId="696BBB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noWrap w:val="0"/>
            <w:vAlign w:val="center"/>
          </w:tcPr>
          <w:p w14:paraId="7AB7B3D2">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7</w:t>
            </w:r>
          </w:p>
        </w:tc>
        <w:tc>
          <w:tcPr>
            <w:tcW w:w="1301" w:type="dxa"/>
            <w:shd w:val="clear" w:color="auto" w:fill="auto"/>
            <w:noWrap w:val="0"/>
            <w:vAlign w:val="center"/>
          </w:tcPr>
          <w:p w14:paraId="7AEDC566">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基于新的边框回归损失函数的遥感图像目标检测方法</w:t>
            </w:r>
          </w:p>
        </w:tc>
        <w:tc>
          <w:tcPr>
            <w:tcW w:w="5882" w:type="dxa"/>
            <w:shd w:val="clear" w:color="auto" w:fill="auto"/>
            <w:noWrap w:val="0"/>
            <w:vAlign w:val="center"/>
          </w:tcPr>
          <w:p w14:paraId="2ACB80C3">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本发明提出了一种基于新的边框回归损失函数的遥感图像目标检测方法，其步骤如下：以高分辨率遥感图像为训练样本训练候选区域生成网络，候选区域生成网络的边框回归损失函数采用新的损失函数；通过训练好的候选区域生成网络得到候选目标框作为目标初始位置训练区域检测网络，区域检测网络的边框回归损失函数采用新的边框回归损失函数；交替训练候选区域生成网络和区域检测网络；共享候选区域生成网络和区域检测网络的主干网络，合并训练后的候选区域生成网络和区域检测网络构建检测模型，获得待检测的高分辨率遥感图像感兴趣目标的位置和类别。本发明通过改进目标检测的边框回归损失函数，能够有效提升高分辨率遥感图像目标检测的精度。</w:t>
            </w:r>
          </w:p>
        </w:tc>
        <w:tc>
          <w:tcPr>
            <w:tcW w:w="1595" w:type="dxa"/>
            <w:shd w:val="clear" w:color="auto" w:fill="auto"/>
            <w:noWrap w:val="0"/>
            <w:vAlign w:val="center"/>
          </w:tcPr>
          <w:p w14:paraId="4811F59C">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钱晓亮，林生，王淑娟，邢培旭，曾黎，程塨，姚西文，岳伟超，任航丽，刘向龙，王芳，毋媛媛，吴青娥</w:t>
            </w:r>
          </w:p>
        </w:tc>
        <w:tc>
          <w:tcPr>
            <w:tcW w:w="1381" w:type="dxa"/>
            <w:shd w:val="clear" w:color="auto" w:fill="auto"/>
            <w:noWrap w:val="0"/>
            <w:vAlign w:val="center"/>
          </w:tcPr>
          <w:p w14:paraId="24A0F7CB">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所有权（学校10%，成果完成团队90%）</w:t>
            </w:r>
          </w:p>
        </w:tc>
        <w:tc>
          <w:tcPr>
            <w:tcW w:w="829" w:type="dxa"/>
            <w:shd w:val="clear" w:color="auto" w:fill="auto"/>
            <w:noWrap w:val="0"/>
            <w:vAlign w:val="center"/>
          </w:tcPr>
          <w:p w14:paraId="2862CEA6">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技术转让</w:t>
            </w:r>
          </w:p>
        </w:tc>
        <w:tc>
          <w:tcPr>
            <w:tcW w:w="711" w:type="dxa"/>
            <w:shd w:val="clear" w:color="auto" w:fill="auto"/>
            <w:noWrap w:val="0"/>
            <w:vAlign w:val="center"/>
          </w:tcPr>
          <w:p w14:paraId="2FF03AE2">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3.0</w:t>
            </w:r>
          </w:p>
        </w:tc>
        <w:tc>
          <w:tcPr>
            <w:tcW w:w="1089" w:type="dxa"/>
            <w:shd w:val="clear" w:color="auto" w:fill="auto"/>
            <w:noWrap w:val="0"/>
            <w:vAlign w:val="center"/>
          </w:tcPr>
          <w:p w14:paraId="1FBA9863">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郑州丰嘉科技股份有限公司</w:t>
            </w:r>
          </w:p>
        </w:tc>
        <w:tc>
          <w:tcPr>
            <w:tcW w:w="505" w:type="dxa"/>
            <w:shd w:val="clear" w:color="auto" w:fill="auto"/>
            <w:noWrap w:val="0"/>
            <w:vAlign w:val="center"/>
          </w:tcPr>
          <w:p w14:paraId="20FA95FF">
            <w:pPr>
              <w:keepNext w:val="0"/>
              <w:keepLines w:val="0"/>
              <w:pageBreakBefore w:val="0"/>
              <w:widowControl w:val="0"/>
              <w:kinsoku/>
              <w:wordWrap/>
              <w:overflowPunct/>
              <w:topLinePunct w:val="0"/>
              <w:autoSpaceDE/>
              <w:autoSpaceDN/>
              <w:bidi w:val="0"/>
              <w:adjustRightInd/>
              <w:spacing w:line="640" w:lineRule="exact"/>
              <w:jc w:val="center"/>
              <w:textAlignment w:val="auto"/>
              <w:rPr>
                <w:rFonts w:hint="eastAsia" w:ascii="仿宋" w:hAnsi="仿宋" w:eastAsia="仿宋" w:cs="仿宋"/>
                <w:kern w:val="2"/>
                <w:sz w:val="22"/>
                <w:szCs w:val="22"/>
                <w:lang w:val="en-US" w:eastAsia="zh-CN" w:bidi="ar-SA"/>
              </w:rPr>
            </w:pPr>
          </w:p>
        </w:tc>
      </w:tr>
      <w:tr w14:paraId="387BA5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noWrap w:val="0"/>
            <w:vAlign w:val="center"/>
          </w:tcPr>
          <w:p w14:paraId="19B2D58B">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8</w:t>
            </w:r>
          </w:p>
        </w:tc>
        <w:tc>
          <w:tcPr>
            <w:tcW w:w="1301" w:type="dxa"/>
            <w:shd w:val="clear" w:color="auto" w:fill="auto"/>
            <w:noWrap w:val="0"/>
            <w:vAlign w:val="center"/>
          </w:tcPr>
          <w:p w14:paraId="2B96D292">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基于协同显著性生成式对抗网络的协同显著性检测方法</w:t>
            </w:r>
          </w:p>
        </w:tc>
        <w:tc>
          <w:tcPr>
            <w:tcW w:w="5882" w:type="dxa"/>
            <w:shd w:val="clear" w:color="auto" w:fill="auto"/>
            <w:noWrap w:val="0"/>
            <w:vAlign w:val="center"/>
          </w:tcPr>
          <w:p w14:paraId="30D9D1BD">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本发明提出了一种基于协同显著性生成式对抗网络的协同显著性检测方法，步骤如下：构建协同显著性生成式对抗网络模型；对协同显著性生成式对抗网络模型进行两阶段训练：在第一训练阶段，采用带标签的显著目标数据库对协同显著性生成式对抗网络进行预训练，本阶段训练后，协同显著性生成式对抗网络具备对单幅图像进行显著性检测的能力；在第二训练阶段，基于第一阶段训练好的模型参数，采用协同显著目标属于同一类别的带标签协同显著性数据组对协同显著性生成式对抗网络进行训练，本阶段训练后，可直接使用训练好的模型进行类别协同显著性检测。本发明训练过程简单、检测效率高，通用性较强，准确率较高。</w:t>
            </w:r>
          </w:p>
        </w:tc>
        <w:tc>
          <w:tcPr>
            <w:tcW w:w="1595" w:type="dxa"/>
            <w:shd w:val="clear" w:color="auto" w:fill="auto"/>
            <w:noWrap w:val="0"/>
            <w:vAlign w:val="center"/>
          </w:tcPr>
          <w:p w14:paraId="20B1A63A">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钱晓亮，白臻，任航丽，曾黎，邢培旭，程塨，姚西文，刘向龙，岳伟超，王芳，刘玉翠，赵素娜，王慰，毋媛媛，吴青娥</w:t>
            </w:r>
          </w:p>
        </w:tc>
        <w:tc>
          <w:tcPr>
            <w:tcW w:w="1381" w:type="dxa"/>
            <w:shd w:val="clear" w:color="auto" w:fill="auto"/>
            <w:noWrap w:val="0"/>
            <w:vAlign w:val="center"/>
          </w:tcPr>
          <w:p w14:paraId="722A9CE0">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所有权（学校10%，成果完成团队90%）</w:t>
            </w:r>
          </w:p>
        </w:tc>
        <w:tc>
          <w:tcPr>
            <w:tcW w:w="829" w:type="dxa"/>
            <w:shd w:val="clear" w:color="auto" w:fill="auto"/>
            <w:noWrap w:val="0"/>
            <w:vAlign w:val="center"/>
          </w:tcPr>
          <w:p w14:paraId="2705C36E">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技术转让</w:t>
            </w:r>
          </w:p>
        </w:tc>
        <w:tc>
          <w:tcPr>
            <w:tcW w:w="711" w:type="dxa"/>
            <w:shd w:val="clear" w:color="auto" w:fill="auto"/>
            <w:noWrap w:val="0"/>
            <w:vAlign w:val="center"/>
          </w:tcPr>
          <w:p w14:paraId="60C0D9A0">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3.0</w:t>
            </w:r>
          </w:p>
        </w:tc>
        <w:tc>
          <w:tcPr>
            <w:tcW w:w="1089" w:type="dxa"/>
            <w:shd w:val="clear" w:color="auto" w:fill="auto"/>
            <w:noWrap w:val="0"/>
            <w:vAlign w:val="center"/>
          </w:tcPr>
          <w:p w14:paraId="230B6BF7">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郑州丰嘉科技股份有限公司</w:t>
            </w:r>
          </w:p>
        </w:tc>
        <w:tc>
          <w:tcPr>
            <w:tcW w:w="505" w:type="dxa"/>
            <w:shd w:val="clear" w:color="auto" w:fill="auto"/>
            <w:noWrap w:val="0"/>
            <w:vAlign w:val="center"/>
          </w:tcPr>
          <w:p w14:paraId="20B7DC01">
            <w:pPr>
              <w:keepNext w:val="0"/>
              <w:keepLines w:val="0"/>
              <w:pageBreakBefore w:val="0"/>
              <w:widowControl w:val="0"/>
              <w:kinsoku/>
              <w:wordWrap/>
              <w:overflowPunct/>
              <w:topLinePunct w:val="0"/>
              <w:autoSpaceDE/>
              <w:autoSpaceDN/>
              <w:bidi w:val="0"/>
              <w:adjustRightInd/>
              <w:spacing w:line="640" w:lineRule="exact"/>
              <w:jc w:val="center"/>
              <w:textAlignment w:val="auto"/>
              <w:rPr>
                <w:rFonts w:hint="eastAsia" w:ascii="仿宋" w:hAnsi="仿宋" w:eastAsia="仿宋" w:cs="仿宋"/>
                <w:kern w:val="2"/>
                <w:sz w:val="22"/>
                <w:szCs w:val="22"/>
                <w:lang w:val="en-US" w:eastAsia="zh-CN" w:bidi="ar-SA"/>
              </w:rPr>
            </w:pPr>
          </w:p>
        </w:tc>
      </w:tr>
      <w:tr w14:paraId="06C825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0" w:type="auto"/>
          </w:tcPr>
          <w:p w14:paraId="60A0AFB3">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黑体" w:hAnsi="黑体" w:eastAsia="黑体" w:cs="黑体"/>
                <w:sz w:val="22"/>
                <w:szCs w:val="22"/>
                <w:lang w:val="en-US" w:eastAsia="zh-CN"/>
              </w:rPr>
            </w:pPr>
          </w:p>
          <w:p w14:paraId="065D30DD">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黑体" w:hAnsi="黑体" w:eastAsia="黑体" w:cs="黑体"/>
                <w:sz w:val="22"/>
                <w:szCs w:val="22"/>
                <w:lang w:val="en-US" w:eastAsia="zh-CN"/>
              </w:rPr>
            </w:pPr>
          </w:p>
          <w:p w14:paraId="6D2ED749">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黑体" w:hAnsi="黑体" w:eastAsia="黑体" w:cs="黑体"/>
                <w:sz w:val="22"/>
                <w:szCs w:val="22"/>
                <w:lang w:val="en-US" w:eastAsia="zh-CN"/>
              </w:rPr>
            </w:pPr>
          </w:p>
          <w:p w14:paraId="2FEB141C">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黑体" w:hAnsi="黑体" w:eastAsia="黑体" w:cs="黑体"/>
                <w:sz w:val="22"/>
                <w:szCs w:val="22"/>
                <w:lang w:val="en-US" w:eastAsia="zh-CN"/>
              </w:rPr>
            </w:pPr>
          </w:p>
          <w:p w14:paraId="5B63DFC1">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黑体" w:hAnsi="黑体" w:eastAsia="黑体" w:cs="黑体"/>
                <w:sz w:val="22"/>
                <w:szCs w:val="22"/>
                <w:lang w:val="en-US" w:eastAsia="zh-CN"/>
              </w:rPr>
            </w:pPr>
          </w:p>
          <w:p w14:paraId="02152F85">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9</w:t>
            </w:r>
          </w:p>
        </w:tc>
        <w:tc>
          <w:tcPr>
            <w:tcW w:w="0" w:type="auto"/>
            <w:shd w:val="clear" w:color="auto" w:fill="auto"/>
            <w:vAlign w:val="center"/>
          </w:tcPr>
          <w:p w14:paraId="6F717CF7">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融合短时和长时深度特征的太阳能电池片缺陷检测方法</w:t>
            </w:r>
          </w:p>
        </w:tc>
        <w:tc>
          <w:tcPr>
            <w:tcW w:w="5882" w:type="dxa"/>
            <w:shd w:val="clear" w:color="auto" w:fill="auto"/>
            <w:vAlign w:val="center"/>
          </w:tcPr>
          <w:p w14:paraId="66131319">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本发明提出了一种融合短时和长时深度特征的太阳能电池片缺陷检测方法，其步骤为：预处理；短时深度特征提取：将预处理后的图像进行分块并向量化后送入堆叠式降噪自动编码器中进行训练，获取到由所有图像块自身学习出的二维自适应深度特征矩阵，同时将二维自适应深度特征矩阵转换为三维矩阵，得到由当前图像观测信息组成的短时深度特征；长时深度特征提取；短时深度特征和长时深度特征融合与转换；低秩矩阵分解与后处理，得到最终检测结果。本发明使用融合当前图像观测信息和先验知识的深度特征来表征太阳能电池片的缺陷，能够显著提高太阳能电池片缺陷检测的通用性和准确性，运算量小、检测效率高，且定位精度较高。</w:t>
            </w:r>
          </w:p>
        </w:tc>
        <w:tc>
          <w:tcPr>
            <w:tcW w:w="1595" w:type="dxa"/>
            <w:shd w:val="clear" w:color="auto" w:fill="auto"/>
            <w:vAlign w:val="center"/>
          </w:tcPr>
          <w:p w14:paraId="4A397E90">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钱晓亮，栗靖，田二林，曾黎，王慰，王延峰，杨存祥，过金超，史坤峰，毋媛媛，王芳</w:t>
            </w:r>
          </w:p>
        </w:tc>
        <w:tc>
          <w:tcPr>
            <w:tcW w:w="0" w:type="auto"/>
            <w:shd w:val="clear" w:color="auto" w:fill="auto"/>
            <w:vAlign w:val="center"/>
          </w:tcPr>
          <w:p w14:paraId="451EE382">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所有权（学校10%，成果完成团队90%）</w:t>
            </w:r>
          </w:p>
        </w:tc>
        <w:tc>
          <w:tcPr>
            <w:tcW w:w="0" w:type="auto"/>
            <w:shd w:val="clear" w:color="auto" w:fill="auto"/>
            <w:vAlign w:val="center"/>
          </w:tcPr>
          <w:p w14:paraId="7B8C22B1">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技术转让</w:t>
            </w:r>
          </w:p>
        </w:tc>
        <w:tc>
          <w:tcPr>
            <w:tcW w:w="0" w:type="auto"/>
            <w:shd w:val="clear" w:color="auto" w:fill="auto"/>
            <w:vAlign w:val="center"/>
          </w:tcPr>
          <w:p w14:paraId="2E7D0528">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3.0</w:t>
            </w:r>
          </w:p>
        </w:tc>
        <w:tc>
          <w:tcPr>
            <w:tcW w:w="0" w:type="auto"/>
            <w:shd w:val="clear" w:color="auto" w:fill="auto"/>
            <w:vAlign w:val="center"/>
          </w:tcPr>
          <w:p w14:paraId="0CB2D749">
            <w:pPr>
              <w:keepNext w:val="0"/>
              <w:keepLines w:val="0"/>
              <w:pageBreakBefore w:val="0"/>
              <w:widowControl w:val="0"/>
              <w:kinsoku/>
              <w:wordWrap/>
              <w:overflowPunct/>
              <w:topLinePunct w:val="0"/>
              <w:autoSpaceDE/>
              <w:autoSpaceDN/>
              <w:bidi w:val="0"/>
              <w:adjustRightInd/>
              <w:spacing w:before="78" w:line="640" w:lineRule="exact"/>
              <w:jc w:val="center"/>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郑州丰嘉科技股份有限公司</w:t>
            </w:r>
          </w:p>
        </w:tc>
        <w:tc>
          <w:tcPr>
            <w:tcW w:w="0" w:type="auto"/>
          </w:tcPr>
          <w:p w14:paraId="7FE3B42D">
            <w:pPr>
              <w:keepNext w:val="0"/>
              <w:keepLines w:val="0"/>
              <w:pageBreakBefore w:val="0"/>
              <w:widowControl w:val="0"/>
              <w:kinsoku/>
              <w:wordWrap/>
              <w:overflowPunct/>
              <w:topLinePunct w:val="0"/>
              <w:autoSpaceDE/>
              <w:autoSpaceDN/>
              <w:bidi w:val="0"/>
              <w:adjustRightInd/>
              <w:spacing w:line="640" w:lineRule="exact"/>
              <w:jc w:val="center"/>
              <w:textAlignment w:val="auto"/>
              <w:rPr>
                <w:rFonts w:hint="eastAsia" w:ascii="仿宋" w:hAnsi="仿宋" w:eastAsia="仿宋" w:cs="仿宋"/>
                <w:kern w:val="2"/>
                <w:sz w:val="22"/>
                <w:szCs w:val="22"/>
                <w:lang w:val="en-US" w:eastAsia="zh-CN" w:bidi="ar-SA"/>
              </w:rPr>
            </w:pPr>
          </w:p>
        </w:tc>
      </w:tr>
    </w:tbl>
    <w:p w14:paraId="45E24976">
      <w:pPr>
        <w:keepNext w:val="0"/>
        <w:keepLines w:val="0"/>
        <w:pageBreakBefore w:val="0"/>
        <w:widowControl w:val="0"/>
        <w:kinsoku/>
        <w:wordWrap/>
        <w:overflowPunct/>
        <w:topLinePunct w:val="0"/>
        <w:autoSpaceDE/>
        <w:autoSpaceDN/>
        <w:bidi w:val="0"/>
        <w:adjustRightInd/>
        <w:spacing w:line="640" w:lineRule="exact"/>
        <w:textAlignment w:val="auto"/>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Arial Unicode MS"/>
    <w:panose1 w:val="03000509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Q1ZmM5M2NiYzViNjc4ZWU1ODNmMjFmYjE5YjlkNzIifQ=="/>
  </w:docVars>
  <w:rsids>
    <w:rsidRoot w:val="1308507D"/>
    <w:rsid w:val="0F2B62DD"/>
    <w:rsid w:val="1308507D"/>
    <w:rsid w:val="1A0C09AF"/>
    <w:rsid w:val="23B86870"/>
    <w:rsid w:val="3FEB3FAE"/>
    <w:rsid w:val="415E2C8C"/>
    <w:rsid w:val="50D852D8"/>
    <w:rsid w:val="52EE628E"/>
    <w:rsid w:val="58406388"/>
    <w:rsid w:val="6A805212"/>
    <w:rsid w:val="7870237F"/>
    <w:rsid w:val="7D05508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920</Words>
  <Characters>931</Characters>
  <Lines>0</Lines>
  <Paragraphs>0</Paragraphs>
  <TotalTime>1</TotalTime>
  <ScaleCrop>false</ScaleCrop>
  <LinksUpToDate>false</LinksUpToDate>
  <CharactersWithSpaces>1001</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2022-07-25T00:53:00Z</dcterms:created>
  <dc:creator>文档存本地丢失不负责</dc:creator>
  <cp:lastModifiedBy>鲍雅如</cp:lastModifiedBy>
  <cp:lastPrinted>2022-07-25T02:39:00Z</cp:lastPrinted>
  <dcterms:modified xsi:type="dcterms:W3CDTF">2025-11-06T08:30:44Z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04E34C3E7BF5406E98A6D3A2BBB78A85_13</vt:lpwstr>
  </property>
  <property fmtid="{D5CDD505-2E9C-101B-9397-08002B2CF9AE}" pid="4" name="KSOTemplateDocerSaveRecord">
    <vt:lpwstr>eyJoZGlkIjoiNjRiMWNhNzcyYTNmZTkwZTQxMjQ2NTA4NDVmOGU4OGYiLCJ1c2VySWQiOiIzMDA5MzIwNzcifQ==</vt:lpwstr>
  </property>
</Properties>
</file>