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4614FF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郑州轻工业大学科研成果赋权情况表</w:t>
      </w:r>
    </w:p>
    <w:p w14:paraId="2DA03F6C">
      <w:pPr>
        <w:spacing w:before="156" w:beforeLines="50"/>
        <w:jc w:val="center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                                               时间：2025年5月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</w:t>
      </w:r>
      <w:r>
        <w:rPr>
          <w:rFonts w:hint="eastAsia" w:ascii="仿宋" w:hAnsi="仿宋" w:eastAsia="仿宋" w:cs="仿宋"/>
          <w:sz w:val="28"/>
          <w:szCs w:val="28"/>
        </w:rPr>
        <w:t>日</w:t>
      </w:r>
    </w:p>
    <w:tbl>
      <w:tblPr>
        <w:tblStyle w:val="4"/>
        <w:tblpPr w:leftFromText="180" w:rightFromText="180" w:vertAnchor="text" w:horzAnchor="page" w:tblpX="1551" w:tblpY="435"/>
        <w:tblOverlap w:val="never"/>
        <w:tblW w:w="138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4"/>
        <w:gridCol w:w="1832"/>
        <w:gridCol w:w="3856"/>
        <w:gridCol w:w="1134"/>
        <w:gridCol w:w="1822"/>
        <w:gridCol w:w="1268"/>
        <w:gridCol w:w="1418"/>
        <w:gridCol w:w="1177"/>
        <w:gridCol w:w="786"/>
      </w:tblGrid>
      <w:tr w14:paraId="3ED0C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544" w:type="dxa"/>
            <w:vAlign w:val="center"/>
          </w:tcPr>
          <w:p w14:paraId="77ADE254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832" w:type="dxa"/>
            <w:vAlign w:val="center"/>
          </w:tcPr>
          <w:p w14:paraId="64D0B762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成果名称</w:t>
            </w:r>
          </w:p>
        </w:tc>
        <w:tc>
          <w:tcPr>
            <w:tcW w:w="3856" w:type="dxa"/>
            <w:vAlign w:val="center"/>
          </w:tcPr>
          <w:p w14:paraId="36182902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成果内容摘要</w:t>
            </w:r>
          </w:p>
        </w:tc>
        <w:tc>
          <w:tcPr>
            <w:tcW w:w="1134" w:type="dxa"/>
            <w:vAlign w:val="center"/>
          </w:tcPr>
          <w:p w14:paraId="57E9F59C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成果完成人</w:t>
            </w:r>
          </w:p>
        </w:tc>
        <w:tc>
          <w:tcPr>
            <w:tcW w:w="1822" w:type="dxa"/>
            <w:vAlign w:val="center"/>
          </w:tcPr>
          <w:p w14:paraId="4580513D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赋权类型</w:t>
            </w:r>
          </w:p>
        </w:tc>
        <w:tc>
          <w:tcPr>
            <w:tcW w:w="1268" w:type="dxa"/>
            <w:vAlign w:val="center"/>
          </w:tcPr>
          <w:p w14:paraId="66B97CC1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转化</w:t>
            </w:r>
          </w:p>
          <w:p w14:paraId="74F3F205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方式</w:t>
            </w:r>
          </w:p>
        </w:tc>
        <w:tc>
          <w:tcPr>
            <w:tcW w:w="1418" w:type="dxa"/>
            <w:vAlign w:val="center"/>
          </w:tcPr>
          <w:p w14:paraId="4D9897F6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交易金额（万元）</w:t>
            </w:r>
          </w:p>
        </w:tc>
        <w:tc>
          <w:tcPr>
            <w:tcW w:w="1177" w:type="dxa"/>
            <w:vAlign w:val="center"/>
          </w:tcPr>
          <w:p w14:paraId="720A92CE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受让方</w:t>
            </w:r>
          </w:p>
        </w:tc>
        <w:tc>
          <w:tcPr>
            <w:tcW w:w="786" w:type="dxa"/>
            <w:vAlign w:val="center"/>
          </w:tcPr>
          <w:p w14:paraId="1AAECBE5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</w:t>
            </w:r>
          </w:p>
        </w:tc>
      </w:tr>
      <w:tr w14:paraId="247EE9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vAlign w:val="center"/>
          </w:tcPr>
          <w:p w14:paraId="6AB2BFFF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1</w:t>
            </w:r>
          </w:p>
        </w:tc>
        <w:tc>
          <w:tcPr>
            <w:tcW w:w="1832" w:type="dxa"/>
            <w:vAlign w:val="center"/>
          </w:tcPr>
          <w:p w14:paraId="667C8DB3">
            <w:pPr>
              <w:snapToGrid w:val="0"/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Cs w:val="21"/>
              </w:rPr>
            </w:pPr>
            <w:r>
              <w:rPr>
                <w:rFonts w:ascii="仿宋" w:hAnsi="仿宋" w:eastAsia="仿宋" w:cs="仿宋"/>
                <w:szCs w:val="21"/>
              </w:rPr>
              <w:t>一种脂肪酸诱导型启动子及其应用</w:t>
            </w:r>
          </w:p>
        </w:tc>
        <w:tc>
          <w:tcPr>
            <w:tcW w:w="3856" w:type="dxa"/>
            <w:vAlign w:val="center"/>
          </w:tcPr>
          <w:p w14:paraId="6F065905">
            <w:pPr>
              <w:snapToGrid w:val="0"/>
              <w:spacing w:line="520" w:lineRule="exact"/>
              <w:ind w:firstLine="420" w:firstLineChars="200"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本发明涉及启动子领域，特别是指一种脂肪酸诱导</w:t>
            </w:r>
            <w:r>
              <w:rPr>
                <w:rFonts w:ascii="仿宋" w:hAnsi="仿宋" w:eastAsia="仿宋" w:cs="仿宋"/>
                <w:szCs w:val="21"/>
              </w:rPr>
              <w:t>型</w:t>
            </w:r>
            <w:r>
              <w:rPr>
                <w:rFonts w:hint="eastAsia" w:ascii="仿宋" w:hAnsi="仿宋" w:eastAsia="仿宋" w:cs="仿宋"/>
                <w:szCs w:val="21"/>
              </w:rPr>
              <w:t>启动子及其应用。具体为该启动子能够被脂肪酸诱导起始转录，即能诱导可操作地被连接到其上的目的基因的转录和表达，有利于目标RNA和蛋白的可控生产，最终实现在酿酒酵母中进行脂肪酸代谢的调控。一种脂肪酸诱导</w:t>
            </w:r>
            <w:r>
              <w:rPr>
                <w:rFonts w:ascii="仿宋" w:hAnsi="仿宋" w:eastAsia="仿宋" w:cs="仿宋"/>
                <w:szCs w:val="21"/>
              </w:rPr>
              <w:t>型</w:t>
            </w:r>
            <w:r>
              <w:rPr>
                <w:rFonts w:hint="eastAsia" w:ascii="仿宋" w:hAnsi="仿宋" w:eastAsia="仿宋" w:cs="仿宋"/>
                <w:szCs w:val="21"/>
              </w:rPr>
              <w:t>启动子，所述启动子的核苷酸序列如SEQ ID NO：1、SEQ ID NO：2、SEQ ID NO：3、SEQ ID NO：4、SEQ ID NO：5、SEQ ID NO：6、SEQ ID NO：7、SEQ ID NO：8或SEQ ID NO：9所示的任一种。鉴于启动子是基因工程表达载体的重要元件，且其表达情况受到细胞生长状况及外界温度等的影响，本发明采用参比质粒与受调控质粒共同转入同一株工程菌株的方法，来考察菌株荧光蛋白的表达情况。</w:t>
            </w:r>
          </w:p>
          <w:p w14:paraId="5354F3BA">
            <w:pPr>
              <w:spacing w:before="78" w:line="340" w:lineRule="atLeast"/>
              <w:ind w:firstLine="404" w:firstLineChars="200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2C45E6B">
            <w:pPr>
              <w:snapToGrid w:val="0"/>
              <w:spacing w:line="340" w:lineRule="atLeast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Cs w:val="21"/>
              </w:rPr>
              <w:t>韩丽，李磊，黄申，</w:t>
            </w:r>
          </w:p>
          <w:p w14:paraId="7D170F64">
            <w:pPr>
              <w:snapToGrid w:val="0"/>
              <w:spacing w:line="340" w:lineRule="atLeast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Cs w:val="21"/>
              </w:rPr>
              <w:t>张占军，韩丹亚，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Cs w:val="21"/>
              </w:rPr>
              <w:t>何培新</w:t>
            </w:r>
          </w:p>
        </w:tc>
        <w:tc>
          <w:tcPr>
            <w:tcW w:w="1822" w:type="dxa"/>
            <w:vAlign w:val="center"/>
          </w:tcPr>
          <w:p w14:paraId="6D9E24AB">
            <w:pPr>
              <w:snapToGrid w:val="0"/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Cs w:val="21"/>
              </w:rPr>
              <w:t>长期使用权（10年）</w:t>
            </w:r>
          </w:p>
          <w:p w14:paraId="78B673F3">
            <w:pPr>
              <w:snapToGrid w:val="0"/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Cs w:val="21"/>
              </w:rPr>
            </w:pPr>
          </w:p>
        </w:tc>
        <w:tc>
          <w:tcPr>
            <w:tcW w:w="1268" w:type="dxa"/>
            <w:vAlign w:val="center"/>
          </w:tcPr>
          <w:p w14:paraId="0A8B1E9A">
            <w:pPr>
              <w:spacing w:line="340" w:lineRule="atLeast"/>
              <w:jc w:val="center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技术许可</w:t>
            </w:r>
          </w:p>
          <w:p w14:paraId="251DD8E0">
            <w:pPr>
              <w:spacing w:line="340" w:lineRule="atLeast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68407F0">
            <w:pPr>
              <w:spacing w:line="340" w:lineRule="atLeast"/>
              <w:jc w:val="center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30</w:t>
            </w:r>
          </w:p>
          <w:p w14:paraId="0515C1CD">
            <w:pPr>
              <w:spacing w:line="340" w:lineRule="atLeast"/>
              <w:jc w:val="center"/>
              <w:rPr>
                <w:rFonts w:hint="eastAsia" w:ascii="仿宋" w:hAnsi="仿宋" w:eastAsia="仿宋" w:cs="仿宋"/>
                <w:szCs w:val="21"/>
              </w:rPr>
            </w:pPr>
          </w:p>
        </w:tc>
        <w:tc>
          <w:tcPr>
            <w:tcW w:w="1177" w:type="dxa"/>
            <w:vAlign w:val="center"/>
          </w:tcPr>
          <w:p w14:paraId="2EB88055">
            <w:pPr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Cs w:val="21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3"/>
                <w:kern w:val="0"/>
                <w:szCs w:val="21"/>
              </w:rPr>
              <w:t>北京迈津生物科技有限公司</w:t>
            </w:r>
          </w:p>
        </w:tc>
        <w:tc>
          <w:tcPr>
            <w:tcW w:w="786" w:type="dxa"/>
            <w:vAlign w:val="center"/>
          </w:tcPr>
          <w:p w14:paraId="772012D2">
            <w:pPr>
              <w:spacing w:line="34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</w:tbl>
    <w:p w14:paraId="75C1563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Q1ZmM5M2NiYzViNjc4ZWU1ODNmMjFmYjE5YjlkNzIifQ=="/>
  </w:docVars>
  <w:rsids>
    <w:rsidRoot w:val="1308507D"/>
    <w:rsid w:val="001413A0"/>
    <w:rsid w:val="003B35DF"/>
    <w:rsid w:val="003D16BB"/>
    <w:rsid w:val="00581C87"/>
    <w:rsid w:val="00614862"/>
    <w:rsid w:val="007E5CF6"/>
    <w:rsid w:val="00B53803"/>
    <w:rsid w:val="0F2B62DD"/>
    <w:rsid w:val="1308507D"/>
    <w:rsid w:val="1C2F7673"/>
    <w:rsid w:val="415E2C8C"/>
    <w:rsid w:val="50D852D8"/>
    <w:rsid w:val="58406388"/>
    <w:rsid w:val="78702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0"/>
    <w:rPr>
      <w:rFonts w:ascii="Calibri" w:hAnsi="Calibri"/>
      <w:kern w:val="2"/>
      <w:sz w:val="18"/>
      <w:szCs w:val="18"/>
    </w:rPr>
  </w:style>
  <w:style w:type="character" w:customStyle="1" w:styleId="7">
    <w:name w:val="页脚 字符"/>
    <w:basedOn w:val="5"/>
    <w:link w:val="2"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411</Words>
  <Characters>455</Characters>
  <Lines>4</Lines>
  <Paragraphs>1</Paragraphs>
  <TotalTime>3</TotalTime>
  <ScaleCrop>false</ScaleCrop>
  <LinksUpToDate>false</LinksUpToDate>
  <CharactersWithSpaces>543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2026-05-13T01:55:00Z</dcterms:created>
  <dc:creator>文档存本地丢失不负责</dc:creator>
  <cp:lastModifiedBy>鲍雅如</cp:lastModifiedBy>
  <cp:lastPrinted>2022-07-25T02:39:00Z</cp:lastPrinted>
  <dcterms:modified xsi:type="dcterms:W3CDTF">2026-05-20T02:45:10Z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04E34C3E7BF5406E98A6D3A2BBB78A85_13</vt:lpwstr>
  </property>
  <property fmtid="{D5CDD505-2E9C-101B-9397-08002B2CF9AE}" pid="4" name="KSOTemplateDocerSaveRecord">
    <vt:lpwstr>eyJoZGlkIjoiNjRiMWNhNzcyYTNmZTkwZTQxMjQ2NTA4NDVmOGU4OGYiLCJ1c2VySWQiOiIzMDA5MzIwNzcifQ==</vt:lpwstr>
  </property>
</Properties>
</file>