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54EAC">
      <w:pPr>
        <w:spacing w:line="360" w:lineRule="auto"/>
        <w:rPr>
          <w:rFonts w:ascii="仿宋_GB2312;Arial Unicode MS" w:hAnsi="仿宋_GB2312;Arial Unicode MS" w:eastAsia="仿宋_GB2312;Arial Unicode MS"/>
          <w:sz w:val="28"/>
          <w:szCs w:val="28"/>
        </w:rPr>
      </w:pPr>
      <w:r>
        <w:rPr>
          <w:rFonts w:ascii="仿宋_GB2312;Arial Unicode MS" w:hAnsi="仿宋_GB2312;Arial Unicode MS" w:eastAsia="仿宋_GB2312;Arial Unicode MS"/>
          <w:sz w:val="28"/>
          <w:szCs w:val="28"/>
        </w:rPr>
        <w:t>附件：</w:t>
      </w:r>
    </w:p>
    <w:p w14:paraId="5110491B">
      <w:pPr>
        <w:spacing w:line="360" w:lineRule="auto"/>
        <w:jc w:val="center"/>
      </w:pPr>
      <w:r>
        <w:rPr>
          <w:rFonts w:ascii="仿宋_GB2312;Arial Unicode MS" w:hAnsi="仿宋_GB2312;Arial Unicode MS" w:eastAsia="仿宋_GB2312;Arial Unicode MS"/>
          <w:b/>
          <w:sz w:val="30"/>
          <w:szCs w:val="30"/>
        </w:rPr>
        <w:t>202</w:t>
      </w:r>
      <w:r>
        <w:rPr>
          <w:rFonts w:hint="eastAsia" w:ascii="仿宋_GB2312;Arial Unicode MS" w:hAnsi="仿宋_GB2312;Arial Unicode MS" w:eastAsia="仿宋_GB2312;Arial Unicode MS"/>
          <w:b/>
          <w:sz w:val="30"/>
          <w:szCs w:val="30"/>
          <w:lang w:val="en-US" w:eastAsia="zh-CN"/>
        </w:rPr>
        <w:t>6</w:t>
      </w:r>
      <w:r>
        <w:rPr>
          <w:rFonts w:ascii="仿宋_GB2312;Arial Unicode MS" w:hAnsi="仿宋_GB2312;Arial Unicode MS" w:eastAsia="仿宋_GB2312;Arial Unicode MS"/>
          <w:b/>
          <w:sz w:val="30"/>
          <w:szCs w:val="30"/>
        </w:rPr>
        <w:t>-202</w:t>
      </w:r>
      <w:r>
        <w:rPr>
          <w:rFonts w:hint="eastAsia" w:ascii="仿宋_GB2312;Arial Unicode MS" w:hAnsi="仿宋_GB2312;Arial Unicode MS" w:eastAsia="仿宋_GB2312;Arial Unicode MS"/>
          <w:b/>
          <w:sz w:val="30"/>
          <w:szCs w:val="30"/>
          <w:lang w:val="en-US" w:eastAsia="zh-CN"/>
        </w:rPr>
        <w:t>7</w:t>
      </w:r>
      <w:r>
        <w:rPr>
          <w:rFonts w:ascii="仿宋_GB2312;Arial Unicode MS" w:hAnsi="仿宋_GB2312;Arial Unicode MS" w:eastAsia="仿宋_GB2312;Arial Unicode MS"/>
          <w:b/>
          <w:sz w:val="30"/>
          <w:szCs w:val="30"/>
        </w:rPr>
        <w:t>学年第</w:t>
      </w:r>
      <w:r>
        <w:rPr>
          <w:rFonts w:hint="eastAsia" w:ascii="仿宋_GB2312;Arial Unicode MS" w:hAnsi="仿宋_GB2312;Arial Unicode MS" w:eastAsia="仿宋_GB2312;Arial Unicode MS"/>
          <w:b/>
          <w:sz w:val="30"/>
          <w:szCs w:val="30"/>
          <w:lang w:val="en-US" w:eastAsia="zh-CN"/>
        </w:rPr>
        <w:t>一</w:t>
      </w:r>
      <w:r>
        <w:rPr>
          <w:rFonts w:ascii="仿宋_GB2312;Arial Unicode MS" w:hAnsi="仿宋_GB2312;Arial Unicode MS" w:eastAsia="仿宋_GB2312;Arial Unicode MS"/>
          <w:b/>
          <w:sz w:val="30"/>
          <w:szCs w:val="30"/>
        </w:rPr>
        <w:t>学期参加期初教学检查人员信息表</w:t>
      </w:r>
    </w:p>
    <w:p w14:paraId="46FFB1CE">
      <w:pPr>
        <w:spacing w:line="360" w:lineRule="auto"/>
        <w:jc w:val="right"/>
        <w:rPr>
          <w:rFonts w:ascii="仿宋_GB2312;Arial Unicode MS" w:hAnsi="仿宋_GB2312;Arial Unicode MS" w:eastAsia="仿宋_GB2312;Arial Unicode MS"/>
          <w:sz w:val="24"/>
          <w:szCs w:val="30"/>
        </w:rPr>
      </w:pPr>
    </w:p>
    <w:tbl>
      <w:tblPr>
        <w:tblStyle w:val="2"/>
        <w:tblW w:w="9159" w:type="dxa"/>
        <w:jc w:val="center"/>
        <w:tblLayout w:type="fixed"/>
        <w:tblCellMar>
          <w:top w:w="0" w:type="dxa"/>
          <w:left w:w="108" w:type="dxa"/>
          <w:bottom w:w="0" w:type="dxa"/>
          <w:right w:w="108" w:type="dxa"/>
        </w:tblCellMar>
      </w:tblPr>
      <w:tblGrid>
        <w:gridCol w:w="2092"/>
        <w:gridCol w:w="1191"/>
        <w:gridCol w:w="2160"/>
        <w:gridCol w:w="2126"/>
        <w:gridCol w:w="1590"/>
      </w:tblGrid>
      <w:tr w14:paraId="7D58EF6A">
        <w:tblPrEx>
          <w:tblCellMar>
            <w:top w:w="0" w:type="dxa"/>
            <w:left w:w="108" w:type="dxa"/>
            <w:bottom w:w="0" w:type="dxa"/>
            <w:right w:w="108" w:type="dxa"/>
          </w:tblCellMar>
        </w:tblPrEx>
        <w:trPr>
          <w:trHeight w:val="794" w:hRule="atLeast"/>
          <w:jc w:val="center"/>
        </w:trPr>
        <w:tc>
          <w:tcPr>
            <w:tcW w:w="2092" w:type="dxa"/>
            <w:tcBorders>
              <w:top w:val="single" w:color="000000" w:sz="4" w:space="0"/>
              <w:left w:val="single" w:color="000000" w:sz="4" w:space="0"/>
              <w:bottom w:val="single" w:color="000000" w:sz="4" w:space="0"/>
              <w:right w:val="single" w:color="000000" w:sz="4" w:space="0"/>
            </w:tcBorders>
          </w:tcPr>
          <w:p w14:paraId="1412E1C8">
            <w:pPr>
              <w:jc w:val="center"/>
              <w:rPr>
                <w:rFonts w:ascii="仿宋_GB2312;Arial Unicode MS" w:hAnsi="仿宋_GB2312;Arial Unicode MS" w:eastAsia="仿宋_GB2312;Arial Unicode MS"/>
                <w:b/>
                <w:sz w:val="28"/>
                <w:szCs w:val="28"/>
              </w:rPr>
            </w:pPr>
            <w:r>
              <w:rPr>
                <w:rFonts w:hint="eastAsia" w:ascii="仿宋_GB2312;Arial Unicode MS" w:hAnsi="仿宋_GB2312;Arial Unicode MS" w:eastAsia="仿宋_GB2312;Arial Unicode MS"/>
                <w:b/>
                <w:sz w:val="28"/>
                <w:szCs w:val="28"/>
              </w:rPr>
              <w:t xml:space="preserve">         </w:t>
            </w:r>
            <w:r>
              <w:rPr>
                <w:rFonts w:ascii="仿宋_GB2312;Arial Unicode MS" w:hAnsi="仿宋_GB2312;Arial Unicode MS" w:eastAsia="仿宋_GB2312;Arial Unicode MS"/>
                <w:b/>
                <w:sz w:val="28"/>
                <w:szCs w:val="28"/>
              </w:rPr>
              <w:t xml:space="preserve">   </w:t>
            </w:r>
            <w:r>
              <w:rPr>
                <w:rFonts w:hint="eastAsia" w:ascii="仿宋_GB2312;Arial Unicode MS" w:hAnsi="仿宋_GB2312;Arial Unicode MS" w:eastAsia="仿宋_GB2312;Arial Unicode MS"/>
                <w:b/>
                <w:sz w:val="28"/>
                <w:szCs w:val="28"/>
              </w:rPr>
              <w:t>学院</w:t>
            </w:r>
          </w:p>
        </w:tc>
        <w:tc>
          <w:tcPr>
            <w:tcW w:w="1191" w:type="dxa"/>
            <w:tcBorders>
              <w:top w:val="single" w:color="000000" w:sz="4" w:space="0"/>
              <w:left w:val="single" w:color="000000" w:sz="4" w:space="0"/>
              <w:bottom w:val="single" w:color="000000" w:sz="4" w:space="0"/>
              <w:right w:val="single" w:color="000000" w:sz="4" w:space="0"/>
            </w:tcBorders>
            <w:vAlign w:val="center"/>
          </w:tcPr>
          <w:p w14:paraId="187A3341">
            <w:pPr>
              <w:jc w:val="center"/>
              <w:rPr>
                <w:rFonts w:ascii="仿宋_GB2312;Arial Unicode MS" w:hAnsi="仿宋_GB2312;Arial Unicode MS" w:eastAsia="仿宋_GB2312;Arial Unicode MS"/>
                <w:b/>
                <w:sz w:val="28"/>
                <w:szCs w:val="28"/>
              </w:rPr>
            </w:pPr>
            <w:r>
              <w:rPr>
                <w:rFonts w:ascii="仿宋_GB2312;Arial Unicode MS" w:hAnsi="仿宋_GB2312;Arial Unicode MS" w:eastAsia="仿宋_GB2312;Arial Unicode MS"/>
                <w:b/>
                <w:sz w:val="28"/>
                <w:szCs w:val="28"/>
              </w:rPr>
              <w:t>姓  名</w:t>
            </w:r>
          </w:p>
        </w:tc>
        <w:tc>
          <w:tcPr>
            <w:tcW w:w="2160" w:type="dxa"/>
            <w:tcBorders>
              <w:top w:val="single" w:color="000000" w:sz="4" w:space="0"/>
              <w:left w:val="single" w:color="000000" w:sz="4" w:space="0"/>
              <w:bottom w:val="single" w:color="000000" w:sz="4" w:space="0"/>
              <w:right w:val="single" w:color="000000" w:sz="4" w:space="0"/>
            </w:tcBorders>
            <w:vAlign w:val="center"/>
          </w:tcPr>
          <w:p w14:paraId="2D01A84E">
            <w:pPr>
              <w:jc w:val="center"/>
              <w:rPr>
                <w:rFonts w:ascii="仿宋_GB2312;Arial Unicode MS" w:hAnsi="仿宋_GB2312;Arial Unicode MS" w:eastAsia="仿宋_GB2312;Arial Unicode MS"/>
                <w:b/>
                <w:sz w:val="28"/>
                <w:szCs w:val="28"/>
              </w:rPr>
            </w:pPr>
            <w:r>
              <w:rPr>
                <w:rFonts w:ascii="仿宋_GB2312;Arial Unicode MS" w:hAnsi="仿宋_GB2312;Arial Unicode MS" w:eastAsia="仿宋_GB2312;Arial Unicode MS"/>
                <w:b/>
                <w:sz w:val="28"/>
                <w:szCs w:val="28"/>
              </w:rPr>
              <w:t>可参加检查的时间</w:t>
            </w:r>
            <w:r>
              <w:rPr>
                <w:rFonts w:hint="eastAsia" w:ascii="仿宋_GB2312;Arial Unicode MS" w:hAnsi="仿宋_GB2312;Arial Unicode MS" w:eastAsia="仿宋_GB2312;Arial Unicode MS"/>
                <w:b/>
                <w:sz w:val="28"/>
                <w:szCs w:val="28"/>
              </w:rPr>
              <w:t>1</w:t>
            </w:r>
          </w:p>
        </w:tc>
        <w:tc>
          <w:tcPr>
            <w:tcW w:w="2126" w:type="dxa"/>
            <w:tcBorders>
              <w:top w:val="single" w:color="000000" w:sz="4" w:space="0"/>
              <w:left w:val="single" w:color="000000" w:sz="4" w:space="0"/>
              <w:bottom w:val="single" w:color="000000" w:sz="4" w:space="0"/>
              <w:right w:val="single" w:color="000000" w:sz="4" w:space="0"/>
            </w:tcBorders>
            <w:vAlign w:val="center"/>
          </w:tcPr>
          <w:p w14:paraId="4D5EE8A5">
            <w:pPr>
              <w:jc w:val="center"/>
              <w:rPr>
                <w:rFonts w:ascii="仿宋_GB2312;Arial Unicode MS" w:hAnsi="仿宋_GB2312;Arial Unicode MS" w:eastAsia="仿宋_GB2312;Arial Unicode MS"/>
                <w:b/>
                <w:sz w:val="28"/>
                <w:szCs w:val="28"/>
              </w:rPr>
            </w:pPr>
            <w:r>
              <w:rPr>
                <w:rFonts w:hint="eastAsia" w:ascii="仿宋_GB2312;Arial Unicode MS" w:hAnsi="仿宋_GB2312;Arial Unicode MS" w:eastAsia="仿宋_GB2312;Arial Unicode MS"/>
                <w:b/>
                <w:sz w:val="28"/>
                <w:szCs w:val="28"/>
              </w:rPr>
              <w:t>可参加</w:t>
            </w:r>
            <w:r>
              <w:rPr>
                <w:rFonts w:ascii="仿宋_GB2312;Arial Unicode MS" w:hAnsi="仿宋_GB2312;Arial Unicode MS" w:eastAsia="仿宋_GB2312;Arial Unicode MS"/>
                <w:b/>
                <w:sz w:val="28"/>
                <w:szCs w:val="28"/>
              </w:rPr>
              <w:t>检查的时间</w:t>
            </w:r>
            <w:r>
              <w:rPr>
                <w:rFonts w:hint="eastAsia" w:ascii="仿宋_GB2312;Arial Unicode MS" w:hAnsi="仿宋_GB2312;Arial Unicode MS" w:eastAsia="仿宋_GB2312;Arial Unicode MS"/>
                <w:b/>
                <w:sz w:val="28"/>
                <w:szCs w:val="28"/>
              </w:rPr>
              <w:t>2</w:t>
            </w:r>
          </w:p>
        </w:tc>
        <w:tc>
          <w:tcPr>
            <w:tcW w:w="1590" w:type="dxa"/>
            <w:tcBorders>
              <w:top w:val="single" w:color="000000" w:sz="4" w:space="0"/>
              <w:left w:val="single" w:color="000000" w:sz="4" w:space="0"/>
              <w:bottom w:val="single" w:color="000000" w:sz="4" w:space="0"/>
              <w:right w:val="single" w:color="000000" w:sz="4" w:space="0"/>
            </w:tcBorders>
          </w:tcPr>
          <w:p w14:paraId="00D97B00">
            <w:pPr>
              <w:jc w:val="center"/>
              <w:rPr>
                <w:rFonts w:ascii="仿宋_GB2312;Arial Unicode MS" w:hAnsi="仿宋_GB2312;Arial Unicode MS" w:eastAsia="仿宋_GB2312;Arial Unicode MS"/>
                <w:b/>
                <w:sz w:val="28"/>
                <w:szCs w:val="28"/>
              </w:rPr>
            </w:pPr>
          </w:p>
          <w:p w14:paraId="07D154FE">
            <w:pPr>
              <w:jc w:val="center"/>
              <w:rPr>
                <w:rFonts w:ascii="仿宋_GB2312;Arial Unicode MS" w:hAnsi="仿宋_GB2312;Arial Unicode MS" w:eastAsia="仿宋_GB2312;Arial Unicode MS"/>
                <w:sz w:val="28"/>
                <w:szCs w:val="28"/>
              </w:rPr>
            </w:pPr>
            <w:r>
              <w:rPr>
                <w:rFonts w:hint="eastAsia" w:ascii="仿宋_GB2312;Arial Unicode MS" w:hAnsi="仿宋_GB2312;Arial Unicode MS" w:eastAsia="仿宋_GB2312;Arial Unicode MS"/>
                <w:b/>
                <w:sz w:val="28"/>
                <w:szCs w:val="28"/>
              </w:rPr>
              <w:t>手机号</w:t>
            </w:r>
          </w:p>
        </w:tc>
      </w:tr>
      <w:tr w14:paraId="533C2163">
        <w:tblPrEx>
          <w:tblCellMar>
            <w:top w:w="0" w:type="dxa"/>
            <w:left w:w="108" w:type="dxa"/>
            <w:bottom w:w="0" w:type="dxa"/>
            <w:right w:w="108" w:type="dxa"/>
          </w:tblCellMar>
        </w:tblPrEx>
        <w:trPr>
          <w:trHeight w:val="584" w:hRule="atLeast"/>
          <w:jc w:val="center"/>
        </w:trPr>
        <w:tc>
          <w:tcPr>
            <w:tcW w:w="2092" w:type="dxa"/>
            <w:tcBorders>
              <w:top w:val="single" w:color="000000" w:sz="4" w:space="0"/>
              <w:left w:val="single" w:color="000000" w:sz="4" w:space="0"/>
              <w:bottom w:val="single" w:color="000000" w:sz="4" w:space="0"/>
              <w:right w:val="single" w:color="000000" w:sz="4" w:space="0"/>
            </w:tcBorders>
          </w:tcPr>
          <w:p w14:paraId="5185F506">
            <w:pPr>
              <w:snapToGrid w:val="0"/>
              <w:rPr>
                <w:rFonts w:ascii="仿宋_GB2312;Arial Unicode MS" w:hAnsi="仿宋_GB2312;Arial Unicode MS" w:eastAsia="仿宋_GB2312;Arial Unicode MS"/>
                <w:b/>
                <w:sz w:val="28"/>
                <w:szCs w:val="28"/>
              </w:rPr>
            </w:pPr>
          </w:p>
        </w:tc>
        <w:tc>
          <w:tcPr>
            <w:tcW w:w="1191" w:type="dxa"/>
            <w:tcBorders>
              <w:top w:val="single" w:color="000000" w:sz="4" w:space="0"/>
              <w:left w:val="single" w:color="000000" w:sz="4" w:space="0"/>
              <w:bottom w:val="single" w:color="000000" w:sz="4" w:space="0"/>
              <w:right w:val="single" w:color="000000" w:sz="4" w:space="0"/>
            </w:tcBorders>
          </w:tcPr>
          <w:p w14:paraId="4AE741EB">
            <w:pPr>
              <w:snapToGrid w:val="0"/>
              <w:rPr>
                <w:rFonts w:ascii="仿宋_GB2312;Arial Unicode MS" w:hAnsi="仿宋_GB2312;Arial Unicode MS" w:eastAsia="仿宋_GB2312;Arial Unicode MS"/>
                <w:b/>
                <w:sz w:val="28"/>
                <w:szCs w:val="28"/>
              </w:rPr>
            </w:pPr>
          </w:p>
        </w:tc>
        <w:tc>
          <w:tcPr>
            <w:tcW w:w="2160" w:type="dxa"/>
            <w:tcBorders>
              <w:top w:val="single" w:color="000000" w:sz="4" w:space="0"/>
              <w:left w:val="single" w:color="000000" w:sz="4" w:space="0"/>
              <w:bottom w:val="single" w:color="000000" w:sz="4" w:space="0"/>
              <w:right w:val="single" w:color="000000" w:sz="4" w:space="0"/>
            </w:tcBorders>
          </w:tcPr>
          <w:p w14:paraId="3B86E0C3">
            <w:pPr>
              <w:rPr>
                <w:sz w:val="28"/>
                <w:szCs w:val="28"/>
              </w:rPr>
            </w:pPr>
          </w:p>
        </w:tc>
        <w:tc>
          <w:tcPr>
            <w:tcW w:w="2126" w:type="dxa"/>
            <w:tcBorders>
              <w:top w:val="single" w:color="000000" w:sz="4" w:space="0"/>
              <w:left w:val="single" w:color="000000" w:sz="4" w:space="0"/>
              <w:bottom w:val="single" w:color="000000" w:sz="4" w:space="0"/>
              <w:right w:val="single" w:color="000000" w:sz="4" w:space="0"/>
            </w:tcBorders>
          </w:tcPr>
          <w:p w14:paraId="29CBB00E">
            <w:pPr>
              <w:snapToGrid w:val="0"/>
              <w:rPr>
                <w:sz w:val="28"/>
                <w:szCs w:val="28"/>
              </w:rPr>
            </w:pPr>
          </w:p>
        </w:tc>
        <w:tc>
          <w:tcPr>
            <w:tcW w:w="1590" w:type="dxa"/>
            <w:tcBorders>
              <w:top w:val="single" w:color="000000" w:sz="4" w:space="0"/>
              <w:left w:val="single" w:color="000000" w:sz="4" w:space="0"/>
              <w:bottom w:val="single" w:color="000000" w:sz="4" w:space="0"/>
              <w:right w:val="single" w:color="000000" w:sz="4" w:space="0"/>
            </w:tcBorders>
          </w:tcPr>
          <w:p w14:paraId="57341251">
            <w:pPr>
              <w:snapToGrid w:val="0"/>
              <w:rPr>
                <w:sz w:val="28"/>
                <w:szCs w:val="28"/>
              </w:rPr>
            </w:pPr>
          </w:p>
        </w:tc>
      </w:tr>
      <w:tr w14:paraId="4CBCE2FE">
        <w:tblPrEx>
          <w:tblCellMar>
            <w:top w:w="0" w:type="dxa"/>
            <w:left w:w="108" w:type="dxa"/>
            <w:bottom w:w="0" w:type="dxa"/>
            <w:right w:w="108" w:type="dxa"/>
          </w:tblCellMar>
        </w:tblPrEx>
        <w:trPr>
          <w:trHeight w:val="584" w:hRule="atLeast"/>
          <w:jc w:val="center"/>
        </w:trPr>
        <w:tc>
          <w:tcPr>
            <w:tcW w:w="2092" w:type="dxa"/>
            <w:tcBorders>
              <w:top w:val="single" w:color="000000" w:sz="4" w:space="0"/>
              <w:left w:val="single" w:color="000000" w:sz="4" w:space="0"/>
              <w:bottom w:val="single" w:color="000000" w:sz="4" w:space="0"/>
              <w:right w:val="single" w:color="000000" w:sz="4" w:space="0"/>
            </w:tcBorders>
          </w:tcPr>
          <w:p w14:paraId="681D5371">
            <w:pPr>
              <w:snapToGrid w:val="0"/>
              <w:rPr>
                <w:sz w:val="28"/>
                <w:szCs w:val="28"/>
              </w:rPr>
            </w:pPr>
          </w:p>
        </w:tc>
        <w:tc>
          <w:tcPr>
            <w:tcW w:w="1191" w:type="dxa"/>
            <w:tcBorders>
              <w:top w:val="single" w:color="000000" w:sz="4" w:space="0"/>
              <w:left w:val="single" w:color="000000" w:sz="4" w:space="0"/>
              <w:bottom w:val="single" w:color="000000" w:sz="4" w:space="0"/>
              <w:right w:val="single" w:color="000000" w:sz="4" w:space="0"/>
            </w:tcBorders>
          </w:tcPr>
          <w:p w14:paraId="22C8FDD5">
            <w:pPr>
              <w:snapToGrid w:val="0"/>
              <w:rPr>
                <w:sz w:val="28"/>
                <w:szCs w:val="28"/>
              </w:rPr>
            </w:pPr>
          </w:p>
        </w:tc>
        <w:tc>
          <w:tcPr>
            <w:tcW w:w="2160" w:type="dxa"/>
            <w:tcBorders>
              <w:top w:val="single" w:color="000000" w:sz="4" w:space="0"/>
              <w:left w:val="single" w:color="000000" w:sz="4" w:space="0"/>
              <w:bottom w:val="single" w:color="000000" w:sz="4" w:space="0"/>
              <w:right w:val="single" w:color="000000" w:sz="4" w:space="0"/>
            </w:tcBorders>
          </w:tcPr>
          <w:p w14:paraId="19BEA5D7">
            <w:pPr>
              <w:snapToGrid w:val="0"/>
              <w:rPr>
                <w:sz w:val="28"/>
                <w:szCs w:val="28"/>
              </w:rPr>
            </w:pPr>
          </w:p>
          <w:p w14:paraId="48CB8BF4">
            <w:pPr>
              <w:rPr>
                <w:sz w:val="28"/>
                <w:szCs w:val="28"/>
              </w:rPr>
            </w:pPr>
          </w:p>
        </w:tc>
        <w:tc>
          <w:tcPr>
            <w:tcW w:w="2126" w:type="dxa"/>
            <w:tcBorders>
              <w:top w:val="single" w:color="000000" w:sz="4" w:space="0"/>
              <w:left w:val="single" w:color="000000" w:sz="4" w:space="0"/>
              <w:bottom w:val="single" w:color="000000" w:sz="4" w:space="0"/>
              <w:right w:val="single" w:color="000000" w:sz="4" w:space="0"/>
            </w:tcBorders>
          </w:tcPr>
          <w:p w14:paraId="3973839E">
            <w:pPr>
              <w:snapToGrid w:val="0"/>
              <w:rPr>
                <w:sz w:val="28"/>
                <w:szCs w:val="28"/>
              </w:rPr>
            </w:pPr>
          </w:p>
        </w:tc>
        <w:tc>
          <w:tcPr>
            <w:tcW w:w="1590" w:type="dxa"/>
            <w:tcBorders>
              <w:top w:val="single" w:color="000000" w:sz="4" w:space="0"/>
              <w:left w:val="single" w:color="000000" w:sz="4" w:space="0"/>
              <w:bottom w:val="single" w:color="000000" w:sz="4" w:space="0"/>
              <w:right w:val="single" w:color="000000" w:sz="4" w:space="0"/>
            </w:tcBorders>
          </w:tcPr>
          <w:p w14:paraId="07E43DE3">
            <w:pPr>
              <w:snapToGrid w:val="0"/>
              <w:rPr>
                <w:sz w:val="28"/>
                <w:szCs w:val="28"/>
              </w:rPr>
            </w:pPr>
          </w:p>
        </w:tc>
      </w:tr>
      <w:tr w14:paraId="06E0926B">
        <w:tblPrEx>
          <w:tblCellMar>
            <w:top w:w="0" w:type="dxa"/>
            <w:left w:w="108" w:type="dxa"/>
            <w:bottom w:w="0" w:type="dxa"/>
            <w:right w:w="108" w:type="dxa"/>
          </w:tblCellMar>
        </w:tblPrEx>
        <w:trPr>
          <w:trHeight w:val="584" w:hRule="atLeast"/>
          <w:jc w:val="center"/>
        </w:trPr>
        <w:tc>
          <w:tcPr>
            <w:tcW w:w="2092" w:type="dxa"/>
            <w:tcBorders>
              <w:top w:val="single" w:color="000000" w:sz="4" w:space="0"/>
              <w:left w:val="single" w:color="000000" w:sz="4" w:space="0"/>
              <w:bottom w:val="single" w:color="000000" w:sz="4" w:space="0"/>
              <w:right w:val="single" w:color="000000" w:sz="4" w:space="0"/>
            </w:tcBorders>
          </w:tcPr>
          <w:p w14:paraId="5A51700A">
            <w:pPr>
              <w:snapToGrid w:val="0"/>
              <w:rPr>
                <w:sz w:val="28"/>
                <w:szCs w:val="28"/>
              </w:rPr>
            </w:pPr>
          </w:p>
        </w:tc>
        <w:tc>
          <w:tcPr>
            <w:tcW w:w="1191" w:type="dxa"/>
            <w:tcBorders>
              <w:top w:val="single" w:color="000000" w:sz="4" w:space="0"/>
              <w:left w:val="single" w:color="000000" w:sz="4" w:space="0"/>
              <w:bottom w:val="single" w:color="000000" w:sz="4" w:space="0"/>
              <w:right w:val="single" w:color="000000" w:sz="4" w:space="0"/>
            </w:tcBorders>
          </w:tcPr>
          <w:p w14:paraId="6AEE0BC9">
            <w:pPr>
              <w:snapToGrid w:val="0"/>
              <w:rPr>
                <w:sz w:val="28"/>
                <w:szCs w:val="28"/>
              </w:rPr>
            </w:pPr>
          </w:p>
        </w:tc>
        <w:tc>
          <w:tcPr>
            <w:tcW w:w="2160" w:type="dxa"/>
            <w:tcBorders>
              <w:top w:val="single" w:color="000000" w:sz="4" w:space="0"/>
              <w:left w:val="single" w:color="000000" w:sz="4" w:space="0"/>
              <w:bottom w:val="single" w:color="000000" w:sz="4" w:space="0"/>
              <w:right w:val="single" w:color="000000" w:sz="4" w:space="0"/>
            </w:tcBorders>
          </w:tcPr>
          <w:p w14:paraId="421EE6AD">
            <w:pPr>
              <w:snapToGrid w:val="0"/>
              <w:rPr>
                <w:sz w:val="28"/>
                <w:szCs w:val="28"/>
              </w:rPr>
            </w:pPr>
          </w:p>
          <w:p w14:paraId="4053392E">
            <w:pPr>
              <w:rPr>
                <w:sz w:val="28"/>
                <w:szCs w:val="28"/>
              </w:rPr>
            </w:pPr>
          </w:p>
        </w:tc>
        <w:tc>
          <w:tcPr>
            <w:tcW w:w="2126" w:type="dxa"/>
            <w:tcBorders>
              <w:top w:val="single" w:color="000000" w:sz="4" w:space="0"/>
              <w:left w:val="single" w:color="000000" w:sz="4" w:space="0"/>
              <w:bottom w:val="single" w:color="000000" w:sz="4" w:space="0"/>
              <w:right w:val="single" w:color="000000" w:sz="4" w:space="0"/>
            </w:tcBorders>
          </w:tcPr>
          <w:p w14:paraId="2D201F4D">
            <w:pPr>
              <w:snapToGrid w:val="0"/>
              <w:rPr>
                <w:sz w:val="28"/>
                <w:szCs w:val="28"/>
              </w:rPr>
            </w:pPr>
          </w:p>
        </w:tc>
        <w:tc>
          <w:tcPr>
            <w:tcW w:w="1590" w:type="dxa"/>
            <w:tcBorders>
              <w:top w:val="single" w:color="000000" w:sz="4" w:space="0"/>
              <w:left w:val="single" w:color="000000" w:sz="4" w:space="0"/>
              <w:bottom w:val="single" w:color="000000" w:sz="4" w:space="0"/>
              <w:right w:val="single" w:color="000000" w:sz="4" w:space="0"/>
            </w:tcBorders>
          </w:tcPr>
          <w:p w14:paraId="5556E807">
            <w:pPr>
              <w:snapToGrid w:val="0"/>
              <w:rPr>
                <w:sz w:val="28"/>
                <w:szCs w:val="28"/>
              </w:rPr>
            </w:pPr>
          </w:p>
        </w:tc>
      </w:tr>
    </w:tbl>
    <w:p w14:paraId="6B39A0BB">
      <w:pPr>
        <w:rPr>
          <w:sz w:val="28"/>
          <w:szCs w:val="28"/>
        </w:rPr>
      </w:pPr>
    </w:p>
    <w:p w14:paraId="3BA551E3">
      <w:pPr>
        <w:rPr>
          <w:rFonts w:ascii="仿宋_GB2312;Arial Unicode MS" w:hAnsi="仿宋_GB2312;Arial Unicode MS" w:eastAsia="仿宋_GB2312;Arial Unicode MS"/>
          <w:sz w:val="28"/>
          <w:szCs w:val="28"/>
        </w:rPr>
      </w:pPr>
      <w:r>
        <w:rPr>
          <w:rFonts w:ascii="仿宋_GB2312;Arial Unicode MS" w:hAnsi="仿宋_GB2312;Arial Unicode MS" w:eastAsia="仿宋_GB2312;Arial Unicode MS"/>
          <w:sz w:val="28"/>
          <w:szCs w:val="28"/>
        </w:rPr>
        <w:t>院（系）：                        负责人签字：</w:t>
      </w:r>
    </w:p>
    <w:p w14:paraId="3B5402F3">
      <w:pPr>
        <w:rPr>
          <w:rFonts w:ascii="仿宋_GB2312;Arial Unicode MS" w:hAnsi="仿宋_GB2312;Arial Unicode MS" w:eastAsia="仿宋_GB2312;Arial Unicode MS"/>
          <w:sz w:val="24"/>
          <w:szCs w:val="28"/>
        </w:rPr>
      </w:pPr>
    </w:p>
    <w:p w14:paraId="3758CB36">
      <w:pPr>
        <w:jc w:val="both"/>
        <w:rPr>
          <w:rFonts w:ascii="仿宋_GB2312;Arial Unicode MS" w:hAnsi="仿宋_GB2312;Arial Unicode MS" w:eastAsia="仿宋_GB2312;Arial Unicode MS"/>
          <w:sz w:val="28"/>
          <w:szCs w:val="28"/>
        </w:rPr>
      </w:pPr>
      <w:r>
        <w:rPr>
          <w:rFonts w:ascii="仿宋_GB2312;Arial Unicode MS" w:hAnsi="仿宋_GB2312;Arial Unicode MS" w:eastAsia="仿宋_GB2312;Arial Unicode MS"/>
          <w:sz w:val="28"/>
          <w:szCs w:val="28"/>
        </w:rPr>
        <w:t>注：1.</w:t>
      </w:r>
      <w:r>
        <w:rPr>
          <w:rFonts w:ascii="仿宋_GB2312;Arial Unicode MS" w:hAnsi="仿宋_GB2312;Arial Unicode MS" w:eastAsia="仿宋_GB2312;Arial Unicode MS" w:cs="宋体;SimSun"/>
          <w:color w:val="000000"/>
          <w:kern w:val="0"/>
          <w:sz w:val="28"/>
          <w:szCs w:val="28"/>
        </w:rPr>
        <w:t>要求教学院长务必参加，其余两人建议为院（系）督导组成员；</w:t>
      </w:r>
    </w:p>
    <w:p w14:paraId="0E54619C">
      <w:pPr>
        <w:jc w:val="both"/>
        <w:rPr>
          <w:rFonts w:hint="eastAsia" w:ascii="仿宋_GB2312;Arial Unicode MS" w:hAnsi="仿宋_GB2312;Arial Unicode MS" w:eastAsia="仿宋_GB2312;Arial Unicode MS"/>
          <w:sz w:val="28"/>
          <w:szCs w:val="28"/>
          <w:lang w:eastAsia="zh-CN"/>
        </w:rPr>
      </w:pPr>
      <w:r>
        <w:rPr>
          <w:rFonts w:ascii="仿宋_GB2312;Arial Unicode MS" w:hAnsi="仿宋_GB2312;Arial Unicode MS" w:eastAsia="仿宋_GB2312;Arial Unicode MS"/>
          <w:sz w:val="28"/>
          <w:szCs w:val="28"/>
        </w:rPr>
        <w:t>2.请将此表</w:t>
      </w:r>
      <w:r>
        <w:rPr>
          <w:rFonts w:ascii="仿宋_GB2312;Arial Unicode MS" w:hAnsi="仿宋_GB2312;Arial Unicode MS" w:eastAsia="仿宋_GB2312;Arial Unicode MS"/>
          <w:sz w:val="28"/>
          <w:szCs w:val="28"/>
        </w:rPr>
        <w:fldChar w:fldCharType="begin"/>
      </w:r>
      <w:r>
        <w:rPr>
          <w:rFonts w:ascii="仿宋_GB2312;Arial Unicode MS" w:hAnsi="仿宋_GB2312;Arial Unicode MS" w:eastAsia="仿宋_GB2312;Arial Unicode MS"/>
          <w:sz w:val="28"/>
          <w:szCs w:val="28"/>
        </w:rPr>
        <w:instrText xml:space="preserve">HYPERLINK "mailto:或将电子版发至教学科邮箱jxknew@zzuli.edu.cn"</w:instrText>
      </w:r>
      <w:r>
        <w:rPr>
          <w:rFonts w:ascii="仿宋_GB2312;Arial Unicode MS" w:hAnsi="仿宋_GB2312;Arial Unicode MS" w:eastAsia="仿宋_GB2312;Arial Unicode MS"/>
          <w:sz w:val="28"/>
          <w:szCs w:val="28"/>
        </w:rPr>
        <w:fldChar w:fldCharType="separate"/>
      </w:r>
      <w:r>
        <w:rPr>
          <w:rFonts w:ascii="仿宋_GB2312;Arial Unicode MS" w:hAnsi="仿宋_GB2312;Arial Unicode MS" w:eastAsia="仿宋_GB2312;Arial Unicode MS"/>
          <w:sz w:val="28"/>
          <w:szCs w:val="28"/>
        </w:rPr>
        <w:t>电子版发至</w:t>
      </w:r>
      <w:r>
        <w:rPr>
          <w:rFonts w:hint="eastAsia" w:ascii="仿宋_GB2312;Arial Unicode MS" w:hAnsi="仿宋_GB2312;Arial Unicode MS" w:eastAsia="仿宋_GB2312;Arial Unicode MS"/>
          <w:sz w:val="28"/>
          <w:szCs w:val="28"/>
          <w:lang w:val="en-US" w:eastAsia="zh-CN"/>
        </w:rPr>
        <w:t>教学质量监控中心质量监控科</w:t>
      </w:r>
      <w:r>
        <w:rPr>
          <w:rFonts w:ascii="仿宋_GB2312;Arial Unicode MS" w:hAnsi="仿宋_GB2312;Arial Unicode MS" w:eastAsia="仿宋_GB2312;Arial Unicode MS"/>
          <w:sz w:val="28"/>
          <w:szCs w:val="28"/>
        </w:rPr>
        <w:t>邮箱</w:t>
      </w:r>
      <w:r>
        <w:rPr>
          <w:rFonts w:hint="eastAsia" w:ascii="仿宋_GB2312;Arial Unicode MS" w:hAnsi="仿宋_GB2312;Arial Unicode MS" w:eastAsia="仿宋_GB2312;Arial Unicode MS"/>
          <w:sz w:val="28"/>
          <w:szCs w:val="28"/>
        </w:rPr>
        <w:t>zljkk@zzuli.edu.cn</w:t>
      </w:r>
      <w:r>
        <w:rPr>
          <w:rFonts w:ascii="仿宋_GB2312;Arial Unicode MS" w:hAnsi="仿宋_GB2312;Arial Unicode MS" w:eastAsia="仿宋_GB2312;Arial Unicode MS"/>
          <w:sz w:val="28"/>
          <w:szCs w:val="28"/>
        </w:rPr>
        <w:fldChar w:fldCharType="end"/>
      </w:r>
      <w:r>
        <w:rPr>
          <w:rFonts w:ascii="仿宋_GB2312;Arial Unicode MS" w:hAnsi="仿宋_GB2312;Arial Unicode MS" w:eastAsia="仿宋_GB2312;Arial Unicode MS"/>
          <w:sz w:val="28"/>
          <w:szCs w:val="28"/>
        </w:rPr>
        <w:t>，联系电话</w:t>
      </w:r>
      <w:r>
        <w:rPr>
          <w:rFonts w:hint="eastAsia" w:ascii="仿宋_GB2312;Arial Unicode MS" w:hAnsi="仿宋_GB2312;Arial Unicode MS" w:eastAsia="仿宋_GB2312;Arial Unicode MS"/>
          <w:sz w:val="28"/>
          <w:szCs w:val="28"/>
          <w:lang w:eastAsia="zh-CN"/>
        </w:rPr>
        <w:t>：</w:t>
      </w:r>
      <w:r>
        <w:rPr>
          <w:rFonts w:ascii="仿宋_GB2312;Arial Unicode MS" w:hAnsi="仿宋_GB2312;Arial Unicode MS" w:eastAsia="仿宋_GB2312;Arial Unicode MS"/>
          <w:sz w:val="28"/>
          <w:szCs w:val="28"/>
        </w:rPr>
        <w:t>8660</w:t>
      </w:r>
      <w:r>
        <w:rPr>
          <w:rFonts w:hint="eastAsia" w:ascii="仿宋_GB2312;Arial Unicode MS" w:hAnsi="仿宋_GB2312;Arial Unicode MS" w:eastAsia="仿宋_GB2312;Arial Unicode MS"/>
          <w:sz w:val="28"/>
          <w:szCs w:val="28"/>
          <w:lang w:val="en-US" w:eastAsia="zh-CN"/>
        </w:rPr>
        <w:t>8239</w:t>
      </w:r>
      <w:r>
        <w:rPr>
          <w:rFonts w:ascii="仿宋_GB2312;Arial Unicode MS" w:hAnsi="仿宋_GB2312;Arial Unicode MS" w:eastAsia="仿宋_GB2312;Arial Unicode MS"/>
          <w:sz w:val="28"/>
          <w:szCs w:val="28"/>
        </w:rPr>
        <w:t>；</w:t>
      </w:r>
    </w:p>
    <w:p w14:paraId="0A15C325">
      <w:pPr>
        <w:jc w:val="both"/>
        <w:rPr>
          <w:rFonts w:ascii="仿宋_GB2312;Arial Unicode MS" w:hAnsi="仿宋_GB2312;Arial Unicode MS" w:eastAsia="仿宋_GB2312;Arial Unicode MS"/>
          <w:sz w:val="28"/>
          <w:szCs w:val="28"/>
        </w:rPr>
      </w:pPr>
      <w:r>
        <w:rPr>
          <w:rFonts w:ascii="仿宋_GB2312;Arial Unicode MS" w:hAnsi="仿宋_GB2312;Arial Unicode MS" w:eastAsia="仿宋_GB2312;Arial Unicode MS"/>
          <w:sz w:val="28"/>
          <w:szCs w:val="28"/>
        </w:rPr>
        <w:t>3.如无特殊情况，期中教学检查也将按各教学单位本次上报的期初教学检查人员进行安排，不再另行通知上报人员。</w:t>
      </w:r>
      <w:bookmarkStart w:id="0" w:name="_GoBack"/>
      <w:bookmarkEnd w:id="0"/>
    </w:p>
    <w:sectPr>
      <w:pgSz w:w="11906" w:h="16838"/>
      <w:pgMar w:top="1440" w:right="1800" w:bottom="1440" w:left="1800" w:header="0"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体;SimSun">
    <w:altName w:val="宋体"/>
    <w:panose1 w:val="00000000000000000000"/>
    <w:charset w:val="86"/>
    <w:family w:val="roman"/>
    <w:pitch w:val="default"/>
    <w:sig w:usb0="00000000" w:usb1="00000000" w:usb2="00000000" w:usb3="00000000" w:csb0="00000000" w:csb1="00000000"/>
  </w:font>
  <w:font w:name="仿宋_GB2312;Arial Unicode MS">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0481F"/>
    <w:rsid w:val="24455956"/>
    <w:rsid w:val="33C2700B"/>
    <w:rsid w:val="4597409E"/>
    <w:rsid w:val="51B47980"/>
    <w:rsid w:val="66601085"/>
    <w:rsid w:val="7D052701"/>
  </w:rsids>
  <m:mathPr>
    <m:brkBin m:val="before"/>
    <m:brkBinSub m:val="--"/>
    <m:smallFrac m:val="0"/>
    <m:dispDef/>
    <m:lMargin m:val="0"/>
    <m:rMargin m:val="0"/>
    <m:defJc m:val="centerGroup"/>
    <m:wrapIndent m:val="1440"/>
    <m:intLim m:val="subSup"/>
    <m:naryLim m:val="undOvr"/>
  </m:mathPr>
  <w:themeFontLang w:val="en-US" w:eastAsia="zh-CN"/>
  <w:clrSchemeMapping w:bg1="accent1" w:t1="dark1" w:bg2="accent1"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SimSun" w:cs="Times New Roman"/>
      <w:kern w:val="2"/>
      <w:sz w:val="21"/>
      <w:szCs w:val="24"/>
      <w:lang w:val="en-US" w:eastAsia="zh-CN" w:bidi="ar-SA"/>
    </w:rPr>
  </w:style>
  <w:style w:type="character" w:default="1" w:styleId="3">
    <w:name w:val="Default Paragraph Font"/>
    <w:qFormat/>
    <w:uiPriority w:val="1"/>
  </w:style>
  <w:style w:type="table" w:default="1" w:styleId="2">
    <w:name w:val="Normal Table"/>
    <w:uiPriority w:val="99"/>
    <w:tblPr>
      <w:tblCellMar>
        <w:top w:w="0" w:type="dxa"/>
        <w:left w:w="108" w:type="dxa"/>
        <w:bottom w:w="0" w:type="dxa"/>
        <w:right w:w="108" w:type="dxa"/>
      </w:tblCellMar>
    </w:tblPr>
  </w:style>
  <w:style w:type="character" w:customStyle="1" w:styleId="4">
    <w:name w:val="Internet 链接"/>
    <w:qFormat/>
    <w:uiPriority w:val="0"/>
    <w:rPr>
      <w:color w:val="00000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165</Words>
  <Characters>201</Characters>
  <Paragraphs>37</Paragraphs>
  <TotalTime>8</TotalTime>
  <ScaleCrop>false</ScaleCrop>
  <LinksUpToDate>false</LinksUpToDate>
  <CharactersWithSpaces>239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2025-02-13T16:14:00Z</dcterms:created>
  <dc:creator>hp</dc:creator>
  <cp:lastModifiedBy>陈川</cp:lastModifiedBy>
  <dcterms:modified xsi:type="dcterms:W3CDTF">2026-09-03T01:57:28Z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eyJoZGlkIjoiNjUwOWE4YmExMjJiZTA5YjE0YmQ5OGVjNTNhYzg4OTQiLCJ1c2VySWQiOiIxMTM0NjIzNTIzIn0=</vt:lpwstr>
  </property>
  <property fmtid="{D5CDD505-2E9C-101B-9397-08002B2CF9AE}" pid="3" name="KSOProductBuildVer">
    <vt:lpwstr>2052-12.1.0.28043</vt:lpwstr>
  </property>
  <property fmtid="{D5CDD505-2E9C-101B-9397-08002B2CF9AE}" pid="4" name="ICV">
    <vt:lpwstr>07925F7B4758453CB5FC2BA236C9AF3B_13</vt:lpwstr>
  </property>
</Properties>
</file>