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AAF14A">
      <w:pPr>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郑州轻工业大学科研成果赋权情况表</w:t>
      </w:r>
    </w:p>
    <w:p w14:paraId="56F7818B">
      <w:pPr>
        <w:spacing w:before="156" w:beforeLines="50"/>
        <w:jc w:val="center"/>
        <w:rPr>
          <w:rFonts w:ascii="仿宋" w:hAnsi="仿宋" w:eastAsia="仿宋" w:cs="仿宋"/>
          <w:sz w:val="28"/>
          <w:szCs w:val="28"/>
        </w:rPr>
      </w:pPr>
      <w:r>
        <w:rPr>
          <w:rFonts w:hint="eastAsia" w:ascii="仿宋" w:hAnsi="仿宋" w:eastAsia="仿宋" w:cs="仿宋"/>
          <w:sz w:val="28"/>
          <w:szCs w:val="28"/>
        </w:rPr>
        <w:t xml:space="preserve">                                                                      时间：202</w:t>
      </w:r>
      <w:r>
        <w:rPr>
          <w:rFonts w:ascii="仿宋" w:hAnsi="仿宋" w:eastAsia="仿宋" w:cs="仿宋"/>
          <w:sz w:val="28"/>
          <w:szCs w:val="28"/>
        </w:rPr>
        <w:t>5</w:t>
      </w:r>
      <w:r>
        <w:rPr>
          <w:rFonts w:hint="eastAsia" w:ascii="仿宋" w:hAnsi="仿宋" w:eastAsia="仿宋" w:cs="仿宋"/>
          <w:sz w:val="28"/>
          <w:szCs w:val="28"/>
        </w:rPr>
        <w:t>年</w:t>
      </w:r>
      <w:r>
        <w:rPr>
          <w:rFonts w:ascii="仿宋" w:hAnsi="仿宋" w:eastAsia="仿宋" w:cs="仿宋"/>
          <w:sz w:val="28"/>
          <w:szCs w:val="28"/>
        </w:rPr>
        <w:t>10</w:t>
      </w:r>
      <w:r>
        <w:rPr>
          <w:rFonts w:hint="eastAsia" w:ascii="仿宋" w:hAnsi="仿宋" w:eastAsia="仿宋" w:cs="仿宋"/>
          <w:sz w:val="28"/>
          <w:szCs w:val="28"/>
        </w:rPr>
        <w:t>月</w:t>
      </w:r>
      <w:r>
        <w:rPr>
          <w:rFonts w:ascii="仿宋" w:hAnsi="仿宋" w:eastAsia="仿宋" w:cs="仿宋"/>
          <w:sz w:val="28"/>
          <w:szCs w:val="28"/>
        </w:rPr>
        <w:t>16</w:t>
      </w:r>
      <w:r>
        <w:rPr>
          <w:rFonts w:hint="eastAsia" w:ascii="仿宋" w:hAnsi="仿宋" w:eastAsia="仿宋" w:cs="仿宋"/>
          <w:sz w:val="28"/>
          <w:szCs w:val="28"/>
        </w:rPr>
        <w:t>日</w:t>
      </w:r>
    </w:p>
    <w:tbl>
      <w:tblPr>
        <w:tblStyle w:val="4"/>
        <w:tblpPr w:leftFromText="180" w:rightFromText="180" w:vertAnchor="text" w:horzAnchor="page" w:tblpX="1551" w:tblpY="435"/>
        <w:tblOverlap w:val="never"/>
        <w:tblW w:w="138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1691"/>
        <w:gridCol w:w="3118"/>
        <w:gridCol w:w="1276"/>
        <w:gridCol w:w="2559"/>
        <w:gridCol w:w="1207"/>
        <w:gridCol w:w="1371"/>
        <w:gridCol w:w="1285"/>
        <w:gridCol w:w="786"/>
      </w:tblGrid>
      <w:tr w14:paraId="25F73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544" w:type="dxa"/>
            <w:shd w:val="clear" w:color="auto" w:fill="auto"/>
            <w:vAlign w:val="center"/>
          </w:tcPr>
          <w:p w14:paraId="70318D48">
            <w:pPr>
              <w:snapToGrid w:val="0"/>
              <w:spacing w:line="340" w:lineRule="atLeast"/>
              <w:jc w:val="center"/>
              <w:rPr>
                <w:rFonts w:ascii="黑体" w:hAnsi="黑体" w:eastAsia="黑体" w:cs="黑体"/>
                <w:sz w:val="24"/>
              </w:rPr>
            </w:pPr>
            <w:r>
              <w:rPr>
                <w:rFonts w:hint="eastAsia" w:ascii="黑体" w:hAnsi="黑体" w:eastAsia="黑体" w:cs="黑体"/>
                <w:sz w:val="24"/>
              </w:rPr>
              <w:t>序号</w:t>
            </w:r>
          </w:p>
        </w:tc>
        <w:tc>
          <w:tcPr>
            <w:tcW w:w="1691" w:type="dxa"/>
            <w:shd w:val="clear" w:color="auto" w:fill="auto"/>
            <w:vAlign w:val="center"/>
          </w:tcPr>
          <w:p w14:paraId="3805F08D">
            <w:pPr>
              <w:snapToGrid w:val="0"/>
              <w:spacing w:line="340" w:lineRule="atLeast"/>
              <w:jc w:val="center"/>
              <w:rPr>
                <w:rFonts w:ascii="黑体" w:hAnsi="黑体" w:eastAsia="黑体" w:cs="黑体"/>
                <w:sz w:val="24"/>
              </w:rPr>
            </w:pPr>
            <w:r>
              <w:rPr>
                <w:rFonts w:hint="eastAsia" w:ascii="黑体" w:hAnsi="黑体" w:eastAsia="黑体" w:cs="黑体"/>
                <w:sz w:val="24"/>
              </w:rPr>
              <w:t>成果名称</w:t>
            </w:r>
          </w:p>
        </w:tc>
        <w:tc>
          <w:tcPr>
            <w:tcW w:w="3118" w:type="dxa"/>
            <w:shd w:val="clear" w:color="auto" w:fill="auto"/>
            <w:vAlign w:val="center"/>
          </w:tcPr>
          <w:p w14:paraId="56EA328E">
            <w:pPr>
              <w:snapToGrid w:val="0"/>
              <w:spacing w:line="340" w:lineRule="atLeast"/>
              <w:jc w:val="center"/>
              <w:rPr>
                <w:rFonts w:ascii="黑体" w:hAnsi="黑体" w:eastAsia="黑体" w:cs="黑体"/>
                <w:sz w:val="24"/>
              </w:rPr>
            </w:pPr>
            <w:r>
              <w:rPr>
                <w:rFonts w:hint="eastAsia" w:ascii="黑体" w:hAnsi="黑体" w:eastAsia="黑体" w:cs="黑体"/>
                <w:sz w:val="24"/>
              </w:rPr>
              <w:t>成果内容摘要</w:t>
            </w:r>
          </w:p>
        </w:tc>
        <w:tc>
          <w:tcPr>
            <w:tcW w:w="1276" w:type="dxa"/>
            <w:shd w:val="clear" w:color="auto" w:fill="auto"/>
            <w:vAlign w:val="center"/>
          </w:tcPr>
          <w:p w14:paraId="71A2498D">
            <w:pPr>
              <w:snapToGrid w:val="0"/>
              <w:spacing w:line="340" w:lineRule="atLeast"/>
              <w:jc w:val="center"/>
              <w:rPr>
                <w:rFonts w:ascii="黑体" w:hAnsi="黑体" w:eastAsia="黑体" w:cs="黑体"/>
                <w:sz w:val="24"/>
              </w:rPr>
            </w:pPr>
            <w:r>
              <w:rPr>
                <w:rFonts w:hint="eastAsia" w:ascii="黑体" w:hAnsi="黑体" w:eastAsia="黑体" w:cs="黑体"/>
                <w:sz w:val="24"/>
              </w:rPr>
              <w:t>成果完成人</w:t>
            </w:r>
          </w:p>
        </w:tc>
        <w:tc>
          <w:tcPr>
            <w:tcW w:w="2559" w:type="dxa"/>
            <w:shd w:val="clear" w:color="auto" w:fill="auto"/>
            <w:vAlign w:val="center"/>
          </w:tcPr>
          <w:p w14:paraId="79EC8980">
            <w:pPr>
              <w:snapToGrid w:val="0"/>
              <w:spacing w:line="340" w:lineRule="atLeast"/>
              <w:jc w:val="center"/>
              <w:rPr>
                <w:rFonts w:ascii="黑体" w:hAnsi="黑体" w:eastAsia="黑体" w:cs="黑体"/>
                <w:sz w:val="24"/>
              </w:rPr>
            </w:pPr>
            <w:r>
              <w:rPr>
                <w:rFonts w:hint="eastAsia" w:ascii="黑体" w:hAnsi="黑体" w:eastAsia="黑体" w:cs="黑体"/>
                <w:sz w:val="24"/>
              </w:rPr>
              <w:t>赋权类型</w:t>
            </w:r>
          </w:p>
        </w:tc>
        <w:tc>
          <w:tcPr>
            <w:tcW w:w="1207" w:type="dxa"/>
            <w:shd w:val="clear" w:color="auto" w:fill="auto"/>
            <w:vAlign w:val="center"/>
          </w:tcPr>
          <w:p w14:paraId="0263E745">
            <w:pPr>
              <w:snapToGrid w:val="0"/>
              <w:spacing w:line="340" w:lineRule="atLeast"/>
              <w:jc w:val="center"/>
              <w:rPr>
                <w:rFonts w:ascii="黑体" w:hAnsi="黑体" w:eastAsia="黑体" w:cs="黑体"/>
                <w:sz w:val="24"/>
              </w:rPr>
            </w:pPr>
            <w:r>
              <w:rPr>
                <w:rFonts w:hint="eastAsia" w:ascii="黑体" w:hAnsi="黑体" w:eastAsia="黑体" w:cs="黑体"/>
                <w:sz w:val="24"/>
              </w:rPr>
              <w:t>转化</w:t>
            </w:r>
          </w:p>
          <w:p w14:paraId="4DABE79B">
            <w:pPr>
              <w:snapToGrid w:val="0"/>
              <w:spacing w:line="340" w:lineRule="atLeast"/>
              <w:jc w:val="center"/>
              <w:rPr>
                <w:rFonts w:ascii="黑体" w:hAnsi="黑体" w:eastAsia="黑体" w:cs="黑体"/>
                <w:sz w:val="24"/>
              </w:rPr>
            </w:pPr>
            <w:r>
              <w:rPr>
                <w:rFonts w:hint="eastAsia" w:ascii="黑体" w:hAnsi="黑体" w:eastAsia="黑体" w:cs="黑体"/>
                <w:sz w:val="24"/>
              </w:rPr>
              <w:t>方式</w:t>
            </w:r>
          </w:p>
        </w:tc>
        <w:tc>
          <w:tcPr>
            <w:tcW w:w="1371" w:type="dxa"/>
            <w:shd w:val="clear" w:color="auto" w:fill="auto"/>
            <w:vAlign w:val="center"/>
          </w:tcPr>
          <w:p w14:paraId="56E0FF39">
            <w:pPr>
              <w:snapToGrid w:val="0"/>
              <w:spacing w:line="340" w:lineRule="atLeast"/>
              <w:jc w:val="center"/>
              <w:rPr>
                <w:rFonts w:ascii="黑体" w:hAnsi="黑体" w:eastAsia="黑体" w:cs="黑体"/>
                <w:sz w:val="24"/>
              </w:rPr>
            </w:pPr>
            <w:r>
              <w:rPr>
                <w:rFonts w:hint="eastAsia" w:ascii="黑体" w:hAnsi="黑体" w:eastAsia="黑体" w:cs="黑体"/>
                <w:sz w:val="24"/>
              </w:rPr>
              <w:t>交易金额（万元）</w:t>
            </w:r>
          </w:p>
        </w:tc>
        <w:tc>
          <w:tcPr>
            <w:tcW w:w="1285" w:type="dxa"/>
            <w:shd w:val="clear" w:color="auto" w:fill="auto"/>
            <w:vAlign w:val="center"/>
          </w:tcPr>
          <w:p w14:paraId="10AC1D5A">
            <w:pPr>
              <w:snapToGrid w:val="0"/>
              <w:spacing w:line="340" w:lineRule="atLeast"/>
              <w:jc w:val="center"/>
              <w:rPr>
                <w:rFonts w:ascii="黑体" w:hAnsi="黑体" w:eastAsia="黑体" w:cs="黑体"/>
                <w:sz w:val="24"/>
              </w:rPr>
            </w:pPr>
            <w:r>
              <w:rPr>
                <w:rFonts w:hint="eastAsia" w:ascii="黑体" w:hAnsi="黑体" w:eastAsia="黑体" w:cs="黑体"/>
                <w:sz w:val="24"/>
              </w:rPr>
              <w:t>受让方</w:t>
            </w:r>
          </w:p>
        </w:tc>
        <w:tc>
          <w:tcPr>
            <w:tcW w:w="786" w:type="dxa"/>
            <w:shd w:val="clear" w:color="auto" w:fill="auto"/>
            <w:vAlign w:val="center"/>
          </w:tcPr>
          <w:p w14:paraId="35EED1E6">
            <w:pPr>
              <w:snapToGrid w:val="0"/>
              <w:spacing w:line="340" w:lineRule="atLeast"/>
              <w:jc w:val="center"/>
              <w:rPr>
                <w:rFonts w:ascii="黑体" w:hAnsi="黑体" w:eastAsia="黑体" w:cs="黑体"/>
                <w:sz w:val="24"/>
              </w:rPr>
            </w:pPr>
            <w:r>
              <w:rPr>
                <w:rFonts w:hint="eastAsia" w:ascii="黑体" w:hAnsi="黑体" w:eastAsia="黑体" w:cs="黑体"/>
                <w:sz w:val="24"/>
              </w:rPr>
              <w:t>备注</w:t>
            </w:r>
          </w:p>
        </w:tc>
      </w:tr>
      <w:tr w14:paraId="008D6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1791EC58">
            <w:pPr>
              <w:snapToGrid w:val="0"/>
              <w:spacing w:line="340" w:lineRule="atLeast"/>
              <w:jc w:val="center"/>
              <w:rPr>
                <w:rFonts w:ascii="黑体" w:hAnsi="黑体" w:eastAsia="黑体" w:cs="黑体"/>
                <w:sz w:val="24"/>
              </w:rPr>
            </w:pPr>
            <w:r>
              <w:rPr>
                <w:rFonts w:hint="eastAsia" w:ascii="黑体" w:hAnsi="黑体" w:eastAsia="黑体" w:cs="黑体"/>
                <w:sz w:val="24"/>
              </w:rPr>
              <w:t>1</w:t>
            </w:r>
          </w:p>
        </w:tc>
        <w:tc>
          <w:tcPr>
            <w:tcW w:w="1691" w:type="dxa"/>
            <w:shd w:val="clear" w:color="auto" w:fill="auto"/>
            <w:vAlign w:val="center"/>
          </w:tcPr>
          <w:p w14:paraId="54249C5F">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4"/>
              </w:rPr>
            </w:pPr>
            <w:bookmarkStart w:id="0" w:name="OLE_LINK1"/>
            <w:r>
              <w:rPr>
                <w:rFonts w:hint="eastAsia" w:ascii="仿宋" w:hAnsi="仿宋" w:eastAsia="仿宋" w:cs="仿宋"/>
                <w:snapToGrid w:val="0"/>
                <w:color w:val="000000"/>
                <w:spacing w:val="-4"/>
                <w:kern w:val="0"/>
                <w:sz w:val="24"/>
              </w:rPr>
              <w:t>一种生物抑菌包装膜的制备方法及其在火腿保鲜中的应用</w:t>
            </w:r>
            <w:bookmarkEnd w:id="0"/>
          </w:p>
        </w:tc>
        <w:tc>
          <w:tcPr>
            <w:tcW w:w="3118" w:type="dxa"/>
            <w:shd w:val="clear" w:color="auto" w:fill="auto"/>
            <w:vAlign w:val="center"/>
          </w:tcPr>
          <w:p w14:paraId="1B8FCF64">
            <w:pPr>
              <w:keepNext w:val="0"/>
              <w:keepLines w:val="0"/>
              <w:pageBreakBefore w:val="0"/>
              <w:widowControl w:val="0"/>
              <w:kinsoku/>
              <w:wordWrap/>
              <w:overflowPunct/>
              <w:topLinePunct w:val="0"/>
              <w:autoSpaceDE/>
              <w:autoSpaceDN/>
              <w:bidi w:val="0"/>
              <w:adjustRightInd/>
              <w:snapToGrid w:val="0"/>
              <w:spacing w:line="640" w:lineRule="exact"/>
              <w:jc w:val="both"/>
              <w:textAlignment w:val="auto"/>
              <w:rPr>
                <w:rFonts w:hint="eastAsia"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本发明提供了一种利用乳酸菌发酵活性产物改良包装材料的制备方法，可延长肉品货架期，能为食品加工企业的质量控制提供有效的实用技术。</w:t>
            </w:r>
          </w:p>
        </w:tc>
        <w:tc>
          <w:tcPr>
            <w:tcW w:w="1276" w:type="dxa"/>
            <w:shd w:val="clear" w:color="auto" w:fill="auto"/>
            <w:vAlign w:val="center"/>
          </w:tcPr>
          <w:p w14:paraId="7713F1DD">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陶静、于碧莲、申晴、冯昕、杨静、周潇、牛宇涛、雷婧豫</w:t>
            </w:r>
          </w:p>
        </w:tc>
        <w:tc>
          <w:tcPr>
            <w:tcW w:w="2559" w:type="dxa"/>
            <w:shd w:val="clear" w:color="auto" w:fill="auto"/>
            <w:vAlign w:val="center"/>
          </w:tcPr>
          <w:p w14:paraId="53329083">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长期使用权（10年）</w:t>
            </w:r>
          </w:p>
        </w:tc>
        <w:tc>
          <w:tcPr>
            <w:tcW w:w="1207" w:type="dxa"/>
            <w:shd w:val="clear" w:color="auto" w:fill="auto"/>
            <w:vAlign w:val="center"/>
          </w:tcPr>
          <w:p w14:paraId="0B20DDF1">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技术许可</w:t>
            </w:r>
          </w:p>
        </w:tc>
        <w:tc>
          <w:tcPr>
            <w:tcW w:w="1371" w:type="dxa"/>
            <w:shd w:val="clear" w:color="auto" w:fill="auto"/>
            <w:vAlign w:val="center"/>
          </w:tcPr>
          <w:p w14:paraId="06EF0E1E">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11</w:t>
            </w:r>
          </w:p>
        </w:tc>
        <w:tc>
          <w:tcPr>
            <w:tcW w:w="1285" w:type="dxa"/>
            <w:shd w:val="clear" w:color="auto" w:fill="auto"/>
            <w:vAlign w:val="center"/>
          </w:tcPr>
          <w:p w14:paraId="1BFD44C8">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洛阳奇泓生物科技有限公司</w:t>
            </w:r>
          </w:p>
        </w:tc>
        <w:tc>
          <w:tcPr>
            <w:tcW w:w="786" w:type="dxa"/>
            <w:shd w:val="clear" w:color="auto" w:fill="auto"/>
            <w:vAlign w:val="center"/>
          </w:tcPr>
          <w:p w14:paraId="5E4462C1">
            <w:pPr>
              <w:keepNext w:val="0"/>
              <w:keepLines w:val="0"/>
              <w:pageBreakBefore w:val="0"/>
              <w:widowControl w:val="0"/>
              <w:kinsoku/>
              <w:wordWrap/>
              <w:overflowPunct/>
              <w:topLinePunct w:val="0"/>
              <w:autoSpaceDE/>
              <w:autoSpaceDN/>
              <w:bidi w:val="0"/>
              <w:adjustRightInd/>
              <w:spacing w:line="640" w:lineRule="exact"/>
              <w:jc w:val="center"/>
              <w:textAlignment w:val="auto"/>
              <w:rPr>
                <w:rFonts w:ascii="仿宋" w:hAnsi="仿宋" w:eastAsia="仿宋" w:cs="仿宋"/>
                <w:sz w:val="28"/>
                <w:szCs w:val="28"/>
              </w:rPr>
            </w:pPr>
          </w:p>
        </w:tc>
      </w:tr>
      <w:tr w14:paraId="4D10B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544" w:type="dxa"/>
            <w:shd w:val="clear" w:color="auto" w:fill="auto"/>
            <w:vAlign w:val="center"/>
          </w:tcPr>
          <w:p w14:paraId="4B7B9BBE">
            <w:pPr>
              <w:snapToGrid w:val="0"/>
              <w:spacing w:line="340" w:lineRule="atLeast"/>
              <w:jc w:val="center"/>
              <w:rPr>
                <w:rFonts w:ascii="黑体" w:hAnsi="黑体" w:eastAsia="黑体" w:cs="黑体"/>
                <w:sz w:val="24"/>
              </w:rPr>
            </w:pPr>
            <w:r>
              <w:rPr>
                <w:rFonts w:hint="eastAsia" w:ascii="黑体" w:hAnsi="黑体" w:eastAsia="黑体" w:cs="黑体"/>
                <w:sz w:val="24"/>
              </w:rPr>
              <w:t>2</w:t>
            </w:r>
          </w:p>
        </w:tc>
        <w:tc>
          <w:tcPr>
            <w:tcW w:w="1691" w:type="dxa"/>
            <w:shd w:val="clear"/>
            <w:vAlign w:val="center"/>
          </w:tcPr>
          <w:p w14:paraId="6012A35C">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4"/>
                <w:lang w:val="en-US" w:eastAsia="zh-CN"/>
              </w:rPr>
            </w:pPr>
            <w:r>
              <w:rPr>
                <w:rFonts w:hint="eastAsia" w:ascii="仿宋" w:hAnsi="仿宋" w:eastAsia="仿宋" w:cs="仿宋"/>
                <w:snapToGrid w:val="0"/>
                <w:color w:val="000000"/>
                <w:spacing w:val="-4"/>
                <w:kern w:val="0"/>
                <w:sz w:val="24"/>
              </w:rPr>
              <w:t>一种含硫原子的萘二酰亚胺正极材料及其制备方法和应用</w:t>
            </w:r>
          </w:p>
        </w:tc>
        <w:tc>
          <w:tcPr>
            <w:tcW w:w="3118" w:type="dxa"/>
            <w:shd w:val="clear"/>
            <w:vAlign w:val="center"/>
          </w:tcPr>
          <w:p w14:paraId="6AB10672">
            <w:pPr>
              <w:keepNext w:val="0"/>
              <w:keepLines w:val="0"/>
              <w:pageBreakBefore w:val="0"/>
              <w:widowControl w:val="0"/>
              <w:kinsoku/>
              <w:wordWrap/>
              <w:overflowPunct/>
              <w:topLinePunct w:val="0"/>
              <w:autoSpaceDE/>
              <w:autoSpaceDN/>
              <w:bidi w:val="0"/>
              <w:adjustRightInd/>
              <w:snapToGrid w:val="0"/>
              <w:spacing w:line="640" w:lineRule="exact"/>
              <w:jc w:val="both"/>
              <w:textAlignment w:val="auto"/>
              <w:rPr>
                <w:rFonts w:hint="eastAsia"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本项目针对有机电极材料普遍存在易溶解，导电性能差等一系列问题，从萘环的核位进行延伸，不仅扩大了分子的共轭体系，增加分子的刚性，降低分子的溶解度，还提高了分子在固态下的导电性，降低了正极材料在有机电解液中的溶解性，显著提升了锂离子电池的循环性能和倍率性能。</w:t>
            </w:r>
          </w:p>
          <w:p w14:paraId="007EF031">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4"/>
                <w:lang w:val="en-US" w:eastAsia="zh-CN"/>
              </w:rPr>
            </w:pPr>
          </w:p>
        </w:tc>
        <w:tc>
          <w:tcPr>
            <w:tcW w:w="1276" w:type="dxa"/>
            <w:shd w:val="clear"/>
            <w:vAlign w:val="center"/>
          </w:tcPr>
          <w:p w14:paraId="3A10DE6C">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4"/>
                <w:lang w:val="en-US" w:eastAsia="zh-CN"/>
              </w:rPr>
            </w:pPr>
            <w:r>
              <w:rPr>
                <w:rFonts w:hint="eastAsia" w:ascii="仿宋" w:hAnsi="仿宋" w:eastAsia="仿宋" w:cs="仿宋"/>
                <w:snapToGrid w:val="0"/>
                <w:color w:val="000000"/>
                <w:spacing w:val="-4"/>
                <w:kern w:val="0"/>
                <w:sz w:val="24"/>
              </w:rPr>
              <w:t>王利霞、罗河伟、马贺、李乐琦、张林森、方华、宋延华、张佳亮、</w:t>
            </w:r>
            <w:r>
              <w:rPr>
                <w:rFonts w:hint="eastAsia" w:ascii="仿宋" w:hAnsi="仿宋" w:eastAsia="仿宋" w:cs="仿宋"/>
                <w:snapToGrid w:val="0"/>
                <w:color w:val="000000"/>
                <w:spacing w:val="-4"/>
                <w:kern w:val="0"/>
                <w:sz w:val="24"/>
              </w:rPr>
              <w:t>张勇、王诗文</w:t>
            </w:r>
          </w:p>
        </w:tc>
        <w:tc>
          <w:tcPr>
            <w:tcW w:w="2559" w:type="dxa"/>
            <w:shd w:val="clear"/>
            <w:vAlign w:val="center"/>
          </w:tcPr>
          <w:p w14:paraId="34319A3F">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4"/>
                <w:lang w:val="en-US" w:eastAsia="zh-CN"/>
              </w:rPr>
            </w:pPr>
            <w:r>
              <w:rPr>
                <w:rFonts w:hint="eastAsia" w:ascii="仿宋" w:hAnsi="仿宋" w:eastAsia="仿宋" w:cs="仿宋"/>
                <w:snapToGrid w:val="0"/>
                <w:color w:val="000000"/>
                <w:spacing w:val="-4"/>
                <w:kern w:val="0"/>
                <w:sz w:val="24"/>
              </w:rPr>
              <w:t>长期使用权（10年）</w:t>
            </w:r>
          </w:p>
        </w:tc>
        <w:tc>
          <w:tcPr>
            <w:tcW w:w="1207" w:type="dxa"/>
            <w:shd w:val="clear"/>
            <w:vAlign w:val="center"/>
          </w:tcPr>
          <w:p w14:paraId="6DF72186">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4"/>
                <w:lang w:val="en-US" w:eastAsia="zh-CN"/>
              </w:rPr>
            </w:pPr>
            <w:r>
              <w:rPr>
                <w:rFonts w:hint="eastAsia" w:ascii="仿宋" w:hAnsi="仿宋" w:eastAsia="仿宋" w:cs="仿宋"/>
                <w:snapToGrid w:val="0"/>
                <w:color w:val="000000"/>
                <w:spacing w:val="-4"/>
                <w:kern w:val="0"/>
                <w:sz w:val="24"/>
              </w:rPr>
              <w:t>技术许可</w:t>
            </w:r>
          </w:p>
        </w:tc>
        <w:tc>
          <w:tcPr>
            <w:tcW w:w="1371" w:type="dxa"/>
            <w:shd w:val="clear"/>
            <w:vAlign w:val="center"/>
          </w:tcPr>
          <w:p w14:paraId="3CCE0C30">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4"/>
                <w:lang w:val="en-US" w:eastAsia="zh-CN"/>
              </w:rPr>
            </w:pPr>
            <w:r>
              <w:rPr>
                <w:rFonts w:hint="eastAsia" w:ascii="仿宋" w:hAnsi="仿宋" w:eastAsia="仿宋" w:cs="仿宋"/>
                <w:snapToGrid w:val="0"/>
                <w:color w:val="000000"/>
                <w:spacing w:val="-4"/>
                <w:kern w:val="0"/>
                <w:sz w:val="24"/>
              </w:rPr>
              <w:t>30</w:t>
            </w:r>
          </w:p>
        </w:tc>
        <w:tc>
          <w:tcPr>
            <w:tcW w:w="1285" w:type="dxa"/>
            <w:shd w:val="clear"/>
            <w:vAlign w:val="center"/>
          </w:tcPr>
          <w:p w14:paraId="47B666AD">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4"/>
                <w:lang w:val="en-US" w:eastAsia="zh-CN"/>
              </w:rPr>
            </w:pPr>
            <w:r>
              <w:rPr>
                <w:rFonts w:hint="eastAsia" w:ascii="仿宋" w:hAnsi="仿宋" w:eastAsia="仿宋" w:cs="仿宋"/>
                <w:snapToGrid w:val="0"/>
                <w:color w:val="000000"/>
                <w:spacing w:val="-4"/>
                <w:kern w:val="0"/>
                <w:sz w:val="24"/>
              </w:rPr>
              <w:t>河南大森林生物科技有限公司</w:t>
            </w:r>
          </w:p>
        </w:tc>
        <w:tc>
          <w:tcPr>
            <w:tcW w:w="786" w:type="dxa"/>
            <w:shd w:val="clear" w:color="auto" w:fill="auto"/>
            <w:vAlign w:val="center"/>
          </w:tcPr>
          <w:p w14:paraId="3B8DE180">
            <w:pPr>
              <w:keepNext w:val="0"/>
              <w:keepLines w:val="0"/>
              <w:pageBreakBefore w:val="0"/>
              <w:widowControl w:val="0"/>
              <w:kinsoku/>
              <w:wordWrap/>
              <w:overflowPunct/>
              <w:topLinePunct w:val="0"/>
              <w:autoSpaceDE/>
              <w:autoSpaceDN/>
              <w:bidi w:val="0"/>
              <w:adjustRightInd/>
              <w:spacing w:line="640" w:lineRule="exact"/>
              <w:jc w:val="center"/>
              <w:textAlignment w:val="auto"/>
              <w:rPr>
                <w:rFonts w:ascii="仿宋" w:hAnsi="仿宋" w:eastAsia="仿宋" w:cs="仿宋"/>
                <w:sz w:val="28"/>
                <w:szCs w:val="28"/>
              </w:rPr>
            </w:pPr>
          </w:p>
        </w:tc>
      </w:tr>
      <w:tr w14:paraId="585FB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40F40546">
            <w:pPr>
              <w:snapToGrid w:val="0"/>
              <w:spacing w:line="340" w:lineRule="atLeast"/>
              <w:jc w:val="center"/>
              <w:rPr>
                <w:rFonts w:hint="eastAsia" w:ascii="黑体" w:hAnsi="黑体" w:eastAsia="黑体" w:cs="黑体"/>
                <w:sz w:val="24"/>
                <w:lang w:val="en-US" w:eastAsia="zh-CN"/>
              </w:rPr>
            </w:pPr>
            <w:r>
              <w:rPr>
                <w:rFonts w:hint="eastAsia" w:ascii="黑体" w:hAnsi="黑体" w:eastAsia="黑体" w:cs="黑体"/>
                <w:sz w:val="24"/>
                <w:lang w:val="en-US" w:eastAsia="zh-CN"/>
              </w:rPr>
              <w:t>3</w:t>
            </w:r>
            <w:bookmarkStart w:id="1" w:name="_GoBack"/>
            <w:bookmarkEnd w:id="1"/>
          </w:p>
        </w:tc>
        <w:tc>
          <w:tcPr>
            <w:tcW w:w="1691" w:type="dxa"/>
            <w:shd w:val="clear" w:color="auto" w:fill="auto"/>
            <w:vAlign w:val="center"/>
          </w:tcPr>
          <w:p w14:paraId="29790172">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4"/>
                <w:lang w:val="en-US" w:eastAsia="zh-CN"/>
              </w:rPr>
            </w:pPr>
            <w:r>
              <w:rPr>
                <w:rFonts w:hint="eastAsia" w:ascii="仿宋" w:hAnsi="仿宋" w:eastAsia="仿宋" w:cs="仿宋"/>
                <w:snapToGrid w:val="0"/>
                <w:color w:val="000000"/>
                <w:spacing w:val="-4"/>
                <w:kern w:val="0"/>
                <w:sz w:val="24"/>
              </w:rPr>
              <w:t>一种城市污水处理空调系统</w:t>
            </w:r>
          </w:p>
        </w:tc>
        <w:tc>
          <w:tcPr>
            <w:tcW w:w="3118" w:type="dxa"/>
            <w:shd w:val="clear" w:color="auto" w:fill="auto"/>
            <w:vAlign w:val="center"/>
          </w:tcPr>
          <w:p w14:paraId="5D006DF6">
            <w:pPr>
              <w:keepNext w:val="0"/>
              <w:keepLines w:val="0"/>
              <w:pageBreakBefore w:val="0"/>
              <w:widowControl w:val="0"/>
              <w:kinsoku/>
              <w:wordWrap/>
              <w:overflowPunct/>
              <w:topLinePunct w:val="0"/>
              <w:autoSpaceDE/>
              <w:autoSpaceDN/>
              <w:bidi w:val="0"/>
              <w:adjustRightInd/>
              <w:snapToGrid w:val="0"/>
              <w:spacing w:line="640" w:lineRule="exact"/>
              <w:jc w:val="both"/>
              <w:textAlignment w:val="auto"/>
              <w:rPr>
                <w:rFonts w:hint="eastAsia"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本发明公开了一种城市污水处理空调系统，它包括污水处理系统、污水热量回收系统、污水利用系统以及空调系统，其中，污水热量回收系统铺设在污水处理系统上，污水处理系统分别通过管道与污水利用系统和空调系统连接；本发明在采用了上述方案后，经过污水处理系统处理后且达到国家排放要求的污水，分别补充到空调系统和污水利用系统中，最大限度地节约用水；铺设在污水处理系统中的污水热量回收系统吸收污水处理系统中污水的热量以提供给空调系统使用，减少了热量资源的浪费。</w:t>
            </w:r>
          </w:p>
          <w:p w14:paraId="35DC43B0">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4"/>
                <w:lang w:val="en-US" w:eastAsia="zh-CN"/>
              </w:rPr>
            </w:pPr>
          </w:p>
        </w:tc>
        <w:tc>
          <w:tcPr>
            <w:tcW w:w="1276" w:type="dxa"/>
            <w:shd w:val="clear" w:color="auto" w:fill="auto"/>
            <w:vAlign w:val="center"/>
          </w:tcPr>
          <w:p w14:paraId="7CEF794C">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4"/>
                <w:lang w:val="en-US" w:eastAsia="zh-CN"/>
              </w:rPr>
            </w:pPr>
            <w:r>
              <w:rPr>
                <w:rFonts w:hint="eastAsia" w:ascii="仿宋" w:hAnsi="仿宋" w:eastAsia="仿宋" w:cs="仿宋"/>
                <w:snapToGrid w:val="0"/>
                <w:color w:val="000000"/>
                <w:spacing w:val="-4"/>
                <w:kern w:val="0"/>
                <w:sz w:val="24"/>
              </w:rPr>
              <w:t>金听祥、李改莲、张红晓</w:t>
            </w:r>
          </w:p>
        </w:tc>
        <w:tc>
          <w:tcPr>
            <w:tcW w:w="2559" w:type="dxa"/>
            <w:shd w:val="clear" w:color="auto" w:fill="auto"/>
            <w:vAlign w:val="center"/>
          </w:tcPr>
          <w:p w14:paraId="2ED2F0E9">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4"/>
                <w:lang w:val="en-US" w:eastAsia="zh-CN"/>
              </w:rPr>
            </w:pPr>
            <w:r>
              <w:rPr>
                <w:rFonts w:hint="eastAsia" w:ascii="仿宋" w:hAnsi="仿宋" w:eastAsia="仿宋" w:cs="仿宋"/>
                <w:snapToGrid w:val="0"/>
                <w:color w:val="000000"/>
                <w:spacing w:val="-4"/>
                <w:kern w:val="0"/>
                <w:sz w:val="24"/>
              </w:rPr>
              <w:t>专利权转让</w:t>
            </w:r>
          </w:p>
        </w:tc>
        <w:tc>
          <w:tcPr>
            <w:tcW w:w="1207" w:type="dxa"/>
            <w:shd w:val="clear" w:color="auto" w:fill="auto"/>
            <w:vAlign w:val="center"/>
          </w:tcPr>
          <w:p w14:paraId="0975266D">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4"/>
              </w:rPr>
            </w:pPr>
            <w:r>
              <w:rPr>
                <w:rFonts w:hint="eastAsia" w:ascii="仿宋" w:hAnsi="仿宋" w:eastAsia="仿宋" w:cs="仿宋"/>
                <w:snapToGrid w:val="0"/>
                <w:color w:val="000000"/>
                <w:spacing w:val="-4"/>
                <w:kern w:val="0"/>
                <w:sz w:val="24"/>
              </w:rPr>
              <w:t>转让</w:t>
            </w:r>
          </w:p>
          <w:p w14:paraId="7C2C6F34">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4"/>
                <w:lang w:val="en-US" w:eastAsia="zh-CN"/>
              </w:rPr>
            </w:pPr>
          </w:p>
        </w:tc>
        <w:tc>
          <w:tcPr>
            <w:tcW w:w="1371" w:type="dxa"/>
            <w:shd w:val="clear" w:color="auto" w:fill="auto"/>
            <w:vAlign w:val="center"/>
          </w:tcPr>
          <w:p w14:paraId="44152474">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4"/>
                <w:lang w:val="en-US" w:eastAsia="zh-CN"/>
              </w:rPr>
            </w:pPr>
            <w:r>
              <w:rPr>
                <w:rFonts w:hint="eastAsia" w:ascii="仿宋" w:hAnsi="仿宋" w:eastAsia="仿宋" w:cs="仿宋"/>
                <w:snapToGrid w:val="0"/>
                <w:color w:val="000000"/>
                <w:spacing w:val="-4"/>
                <w:kern w:val="0"/>
                <w:sz w:val="24"/>
              </w:rPr>
              <w:t>30</w:t>
            </w:r>
          </w:p>
        </w:tc>
        <w:tc>
          <w:tcPr>
            <w:tcW w:w="1285" w:type="dxa"/>
            <w:shd w:val="clear" w:color="auto" w:fill="auto"/>
            <w:vAlign w:val="center"/>
          </w:tcPr>
          <w:p w14:paraId="385A660B">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仿宋" w:hAnsi="仿宋" w:eastAsia="仿宋" w:cs="仿宋"/>
                <w:snapToGrid w:val="0"/>
                <w:color w:val="000000"/>
                <w:spacing w:val="-4"/>
                <w:kern w:val="0"/>
                <w:sz w:val="24"/>
                <w:lang w:val="en-US" w:eastAsia="zh-CN"/>
              </w:rPr>
            </w:pPr>
            <w:r>
              <w:rPr>
                <w:rFonts w:hint="eastAsia" w:ascii="仿宋" w:hAnsi="仿宋" w:eastAsia="仿宋" w:cs="仿宋"/>
                <w:snapToGrid w:val="0"/>
                <w:color w:val="000000"/>
                <w:spacing w:val="-4"/>
                <w:kern w:val="0"/>
                <w:sz w:val="24"/>
              </w:rPr>
              <w:t>三张节能工程有限公司</w:t>
            </w:r>
          </w:p>
        </w:tc>
        <w:tc>
          <w:tcPr>
            <w:tcW w:w="786" w:type="dxa"/>
            <w:shd w:val="clear" w:color="auto" w:fill="auto"/>
            <w:vAlign w:val="center"/>
          </w:tcPr>
          <w:p w14:paraId="6DE48A3A">
            <w:pPr>
              <w:keepNext w:val="0"/>
              <w:keepLines w:val="0"/>
              <w:pageBreakBefore w:val="0"/>
              <w:widowControl w:val="0"/>
              <w:kinsoku/>
              <w:wordWrap/>
              <w:overflowPunct/>
              <w:topLinePunct w:val="0"/>
              <w:autoSpaceDE/>
              <w:autoSpaceDN/>
              <w:bidi w:val="0"/>
              <w:adjustRightInd/>
              <w:spacing w:line="640" w:lineRule="exact"/>
              <w:jc w:val="center"/>
              <w:textAlignment w:val="auto"/>
              <w:rPr>
                <w:rFonts w:ascii="仿宋" w:hAnsi="仿宋" w:eastAsia="仿宋" w:cs="仿宋"/>
                <w:sz w:val="28"/>
                <w:szCs w:val="28"/>
              </w:rPr>
            </w:pPr>
          </w:p>
        </w:tc>
      </w:tr>
    </w:tbl>
    <w:p w14:paraId="3709BC7F"/>
    <w:p w14:paraId="450D089E"/>
    <w:p w14:paraId="20106520"/>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Arial Unicode MS"/>
    <w:panose1 w:val="02010601030101010101"/>
    <w:charset w:val="86"/>
    <w:family w:val="auto"/>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汉仪字酷堂长林体W">
    <w:panose1 w:val="00020600040101010101"/>
    <w:charset w:val="86"/>
    <w:family w:val="auto"/>
    <w:pitch w:val="default"/>
    <w:sig w:usb0="8000003F" w:usb1="1AC104FA" w:usb2="00000016" w:usb3="00000000" w:csb0="0004009F" w:csb1="00000000"/>
  </w:font>
  <w:font w:name="汉仪正圆 55简">
    <w:altName w:val="宋体"/>
    <w:panose1 w:val="00020600040101010101"/>
    <w:charset w:val="86"/>
    <w:family w:val="roman"/>
    <w:pitch w:val="default"/>
    <w:sig w:usb0="00000000" w:usb1="00000000" w:usb2="00000016" w:usb3="00000000" w:csb0="0004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1ZmM5M2NiYzViNjc4ZWU1ODNmMjFmYjE5YjlkNzIifQ=="/>
  </w:docVars>
  <w:rsids>
    <w:rsidRoot w:val="1308507D"/>
    <w:rsid w:val="0002502E"/>
    <w:rsid w:val="001319E6"/>
    <w:rsid w:val="002E6587"/>
    <w:rsid w:val="003039E0"/>
    <w:rsid w:val="00494688"/>
    <w:rsid w:val="007D589C"/>
    <w:rsid w:val="00891C6B"/>
    <w:rsid w:val="00C45687"/>
    <w:rsid w:val="00D534A8"/>
    <w:rsid w:val="03DE3035"/>
    <w:rsid w:val="0F2B62DD"/>
    <w:rsid w:val="1308507D"/>
    <w:rsid w:val="18A20392"/>
    <w:rsid w:val="415E2C8C"/>
    <w:rsid w:val="50D852D8"/>
    <w:rsid w:val="58406388"/>
    <w:rsid w:val="787023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0"/>
    <w:rPr>
      <w:rFonts w:ascii="Calibri" w:hAnsi="Calibri"/>
      <w:kern w:val="2"/>
      <w:sz w:val="18"/>
      <w:szCs w:val="18"/>
    </w:rPr>
  </w:style>
  <w:style w:type="character" w:customStyle="1" w:styleId="7">
    <w:name w:val="页脚 字符"/>
    <w:basedOn w:val="5"/>
    <w:link w:val="2"/>
    <w:qFormat/>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205</Words>
  <Characters>212</Characters>
  <Lines>2</Lines>
  <Paragraphs>1</Paragraphs>
  <TotalTime>45</TotalTime>
  <ScaleCrop>false</ScaleCrop>
  <LinksUpToDate>false</LinksUpToDate>
  <CharactersWithSpaces>282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2022-07-25T00:53:00Z</dcterms:created>
  <dc:creator>文档存本地丢失不负责</dc:creator>
  <cp:lastModifiedBy>鲍雅如</cp:lastModifiedBy>
  <cp:lastPrinted>2022-07-25T02:39:00Z</cp:lastPrinted>
  <dcterms:modified xsi:type="dcterms:W3CDTF">2025-10-16T08:22:24Z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04E34C3E7BF5406E98A6D3A2BBB78A85_13</vt:lpwstr>
  </property>
  <property fmtid="{D5CDD505-2E9C-101B-9397-08002B2CF9AE}" pid="4" name="KSOTemplateDocerSaveRecord">
    <vt:lpwstr>eyJoZGlkIjoiNjRiMWNhNzcyYTNmZTkwZTQxMjQ2NTA4NDVmOGU4OGYiLCJ1c2VySWQiOiIzMDA5MzIwNzcifQ==</vt:lpwstr>
  </property>
</Properties>
</file>