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0A60D7">
      <w:pPr>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郑州轻工业大学科研成果赋权情况表</w:t>
      </w:r>
    </w:p>
    <w:p w14:paraId="7831DC83">
      <w:pPr>
        <w:spacing w:before="156" w:beforeLines="50"/>
        <w:jc w:val="center"/>
        <w:rPr>
          <w:rFonts w:hint="eastAsia" w:ascii="仿宋" w:hAnsi="仿宋" w:eastAsia="仿宋" w:cs="仿宋"/>
          <w:sz w:val="28"/>
          <w:szCs w:val="28"/>
        </w:rPr>
      </w:pPr>
      <w:r>
        <w:rPr>
          <w:rFonts w:hint="eastAsia" w:ascii="仿宋" w:hAnsi="仿宋" w:eastAsia="仿宋" w:cs="仿宋"/>
          <w:sz w:val="28"/>
          <w:szCs w:val="28"/>
        </w:rPr>
        <w:t xml:space="preserve">                                                                      时间：2025年</w:t>
      </w:r>
      <w:r>
        <w:rPr>
          <w:rFonts w:hint="eastAsia" w:ascii="仿宋" w:hAnsi="仿宋" w:eastAsia="仿宋" w:cs="仿宋"/>
          <w:sz w:val="28"/>
          <w:szCs w:val="28"/>
          <w:lang w:val="en-US" w:eastAsia="zh-CN"/>
        </w:rPr>
        <w:t>12</w:t>
      </w:r>
      <w:r>
        <w:rPr>
          <w:rFonts w:hint="eastAsia" w:ascii="仿宋" w:hAnsi="仿宋" w:eastAsia="仿宋" w:cs="仿宋"/>
          <w:sz w:val="28"/>
          <w:szCs w:val="28"/>
        </w:rPr>
        <w:t>月</w:t>
      </w:r>
      <w:r>
        <w:rPr>
          <w:rFonts w:hint="eastAsia" w:ascii="仿宋" w:hAnsi="仿宋" w:eastAsia="仿宋" w:cs="仿宋"/>
          <w:sz w:val="28"/>
          <w:szCs w:val="28"/>
          <w:lang w:val="en-US" w:eastAsia="zh-CN"/>
        </w:rPr>
        <w:t>10</w:t>
      </w:r>
      <w:r>
        <w:rPr>
          <w:rFonts w:hint="eastAsia" w:ascii="仿宋" w:hAnsi="仿宋" w:eastAsia="仿宋" w:cs="仿宋"/>
          <w:sz w:val="28"/>
          <w:szCs w:val="28"/>
        </w:rPr>
        <w:t>日</w:t>
      </w:r>
    </w:p>
    <w:tbl>
      <w:tblPr>
        <w:tblStyle w:val="3"/>
        <w:tblpPr w:leftFromText="180" w:rightFromText="180" w:vertAnchor="text" w:horzAnchor="page" w:tblpX="1551" w:tblpY="435"/>
        <w:tblOverlap w:val="never"/>
        <w:tblW w:w="138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4"/>
        <w:gridCol w:w="1333"/>
        <w:gridCol w:w="4335"/>
        <w:gridCol w:w="2520"/>
        <w:gridCol w:w="1080"/>
        <w:gridCol w:w="750"/>
        <w:gridCol w:w="1204"/>
        <w:gridCol w:w="1285"/>
        <w:gridCol w:w="786"/>
      </w:tblGrid>
      <w:tr w14:paraId="498AB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atLeast"/>
        </w:trPr>
        <w:tc>
          <w:tcPr>
            <w:tcW w:w="544" w:type="dxa"/>
            <w:vAlign w:val="center"/>
          </w:tcPr>
          <w:p w14:paraId="2BE58793">
            <w:pPr>
              <w:snapToGrid w:val="0"/>
              <w:spacing w:line="340" w:lineRule="atLeast"/>
              <w:jc w:val="center"/>
              <w:rPr>
                <w:rFonts w:hint="eastAsia" w:ascii="黑体" w:hAnsi="黑体" w:eastAsia="黑体" w:cs="黑体"/>
                <w:sz w:val="24"/>
              </w:rPr>
            </w:pPr>
            <w:r>
              <w:rPr>
                <w:rFonts w:hint="eastAsia" w:ascii="黑体" w:hAnsi="黑体" w:eastAsia="黑体" w:cs="黑体"/>
                <w:sz w:val="24"/>
              </w:rPr>
              <w:t>序号</w:t>
            </w:r>
          </w:p>
        </w:tc>
        <w:tc>
          <w:tcPr>
            <w:tcW w:w="1333" w:type="dxa"/>
            <w:vAlign w:val="center"/>
          </w:tcPr>
          <w:p w14:paraId="1F8EE127">
            <w:pPr>
              <w:snapToGrid w:val="0"/>
              <w:spacing w:line="340" w:lineRule="atLeast"/>
              <w:jc w:val="center"/>
              <w:rPr>
                <w:rFonts w:hint="eastAsia" w:ascii="黑体" w:hAnsi="黑体" w:eastAsia="黑体" w:cs="黑体"/>
                <w:sz w:val="24"/>
              </w:rPr>
            </w:pPr>
            <w:r>
              <w:rPr>
                <w:rFonts w:hint="eastAsia" w:ascii="黑体" w:hAnsi="黑体" w:eastAsia="黑体" w:cs="黑体"/>
                <w:sz w:val="24"/>
              </w:rPr>
              <w:t>成果名称</w:t>
            </w:r>
          </w:p>
        </w:tc>
        <w:tc>
          <w:tcPr>
            <w:tcW w:w="4335" w:type="dxa"/>
            <w:vAlign w:val="center"/>
          </w:tcPr>
          <w:p w14:paraId="47606B56">
            <w:pPr>
              <w:snapToGrid w:val="0"/>
              <w:spacing w:line="340" w:lineRule="atLeast"/>
              <w:jc w:val="center"/>
              <w:rPr>
                <w:rFonts w:hint="eastAsia" w:ascii="黑体" w:hAnsi="黑体" w:eastAsia="黑体" w:cs="黑体"/>
                <w:sz w:val="24"/>
              </w:rPr>
            </w:pPr>
            <w:r>
              <w:rPr>
                <w:rFonts w:hint="eastAsia" w:ascii="黑体" w:hAnsi="黑体" w:eastAsia="黑体" w:cs="黑体"/>
                <w:sz w:val="24"/>
              </w:rPr>
              <w:t>成果内容摘要</w:t>
            </w:r>
          </w:p>
        </w:tc>
        <w:tc>
          <w:tcPr>
            <w:tcW w:w="2520" w:type="dxa"/>
            <w:vAlign w:val="center"/>
          </w:tcPr>
          <w:p w14:paraId="590297BC">
            <w:pPr>
              <w:snapToGrid w:val="0"/>
              <w:spacing w:line="340" w:lineRule="atLeast"/>
              <w:jc w:val="center"/>
              <w:rPr>
                <w:rFonts w:hint="eastAsia" w:ascii="黑体" w:hAnsi="黑体" w:eastAsia="黑体" w:cs="黑体"/>
                <w:sz w:val="24"/>
              </w:rPr>
            </w:pPr>
            <w:r>
              <w:rPr>
                <w:rFonts w:hint="eastAsia" w:ascii="黑体" w:hAnsi="黑体" w:eastAsia="黑体" w:cs="黑体"/>
                <w:sz w:val="24"/>
              </w:rPr>
              <w:t>成果完成人</w:t>
            </w:r>
          </w:p>
        </w:tc>
        <w:tc>
          <w:tcPr>
            <w:tcW w:w="1080" w:type="dxa"/>
            <w:vAlign w:val="center"/>
          </w:tcPr>
          <w:p w14:paraId="5383EACD">
            <w:pPr>
              <w:snapToGrid w:val="0"/>
              <w:spacing w:line="340" w:lineRule="atLeast"/>
              <w:jc w:val="center"/>
              <w:rPr>
                <w:rFonts w:hint="eastAsia" w:ascii="黑体" w:hAnsi="黑体" w:eastAsia="黑体" w:cs="黑体"/>
                <w:sz w:val="24"/>
              </w:rPr>
            </w:pPr>
            <w:r>
              <w:rPr>
                <w:rFonts w:hint="eastAsia" w:ascii="黑体" w:hAnsi="黑体" w:eastAsia="黑体" w:cs="黑体"/>
                <w:sz w:val="24"/>
              </w:rPr>
              <w:t>赋权类型</w:t>
            </w:r>
          </w:p>
        </w:tc>
        <w:tc>
          <w:tcPr>
            <w:tcW w:w="750" w:type="dxa"/>
            <w:vAlign w:val="center"/>
          </w:tcPr>
          <w:p w14:paraId="06D39CB5">
            <w:pPr>
              <w:snapToGrid w:val="0"/>
              <w:spacing w:line="340" w:lineRule="atLeast"/>
              <w:jc w:val="center"/>
              <w:rPr>
                <w:rFonts w:hint="eastAsia" w:ascii="黑体" w:hAnsi="黑体" w:eastAsia="黑体" w:cs="黑体"/>
                <w:sz w:val="24"/>
              </w:rPr>
            </w:pPr>
            <w:r>
              <w:rPr>
                <w:rFonts w:hint="eastAsia" w:ascii="黑体" w:hAnsi="黑体" w:eastAsia="黑体" w:cs="黑体"/>
                <w:sz w:val="24"/>
              </w:rPr>
              <w:t>转化</w:t>
            </w:r>
          </w:p>
          <w:p w14:paraId="7F2F843F">
            <w:pPr>
              <w:snapToGrid w:val="0"/>
              <w:spacing w:line="340" w:lineRule="atLeast"/>
              <w:jc w:val="center"/>
              <w:rPr>
                <w:rFonts w:hint="eastAsia" w:ascii="黑体" w:hAnsi="黑体" w:eastAsia="黑体" w:cs="黑体"/>
                <w:sz w:val="24"/>
              </w:rPr>
            </w:pPr>
            <w:r>
              <w:rPr>
                <w:rFonts w:hint="eastAsia" w:ascii="黑体" w:hAnsi="黑体" w:eastAsia="黑体" w:cs="黑体"/>
                <w:sz w:val="24"/>
              </w:rPr>
              <w:t>方式</w:t>
            </w:r>
          </w:p>
        </w:tc>
        <w:tc>
          <w:tcPr>
            <w:tcW w:w="1204" w:type="dxa"/>
            <w:vAlign w:val="center"/>
          </w:tcPr>
          <w:p w14:paraId="5CF16370">
            <w:pPr>
              <w:snapToGrid w:val="0"/>
              <w:spacing w:line="340" w:lineRule="atLeast"/>
              <w:jc w:val="center"/>
              <w:rPr>
                <w:rFonts w:hint="eastAsia" w:ascii="黑体" w:hAnsi="黑体" w:eastAsia="黑体" w:cs="黑体"/>
                <w:sz w:val="24"/>
              </w:rPr>
            </w:pPr>
            <w:r>
              <w:rPr>
                <w:rFonts w:hint="eastAsia" w:ascii="黑体" w:hAnsi="黑体" w:eastAsia="黑体" w:cs="黑体"/>
                <w:sz w:val="24"/>
              </w:rPr>
              <w:t>交易金额（万元）</w:t>
            </w:r>
          </w:p>
        </w:tc>
        <w:tc>
          <w:tcPr>
            <w:tcW w:w="1285" w:type="dxa"/>
            <w:vAlign w:val="center"/>
          </w:tcPr>
          <w:p w14:paraId="3380B7F3">
            <w:pPr>
              <w:snapToGrid w:val="0"/>
              <w:spacing w:line="340" w:lineRule="atLeast"/>
              <w:jc w:val="center"/>
              <w:rPr>
                <w:rFonts w:hint="eastAsia" w:ascii="黑体" w:hAnsi="黑体" w:eastAsia="黑体" w:cs="黑体"/>
                <w:sz w:val="24"/>
              </w:rPr>
            </w:pPr>
            <w:r>
              <w:rPr>
                <w:rFonts w:hint="eastAsia" w:ascii="黑体" w:hAnsi="黑体" w:eastAsia="黑体" w:cs="黑体"/>
                <w:sz w:val="24"/>
              </w:rPr>
              <w:t>受让方</w:t>
            </w:r>
          </w:p>
        </w:tc>
        <w:tc>
          <w:tcPr>
            <w:tcW w:w="786" w:type="dxa"/>
            <w:vAlign w:val="center"/>
          </w:tcPr>
          <w:p w14:paraId="6C1DAD35">
            <w:pPr>
              <w:snapToGrid w:val="0"/>
              <w:spacing w:line="340" w:lineRule="atLeast"/>
              <w:jc w:val="center"/>
              <w:rPr>
                <w:rFonts w:hint="eastAsia" w:ascii="黑体" w:hAnsi="黑体" w:eastAsia="黑体" w:cs="黑体"/>
                <w:sz w:val="24"/>
              </w:rPr>
            </w:pPr>
            <w:r>
              <w:rPr>
                <w:rFonts w:hint="eastAsia" w:ascii="黑体" w:hAnsi="黑体" w:eastAsia="黑体" w:cs="黑体"/>
                <w:sz w:val="24"/>
              </w:rPr>
              <w:t>备注</w:t>
            </w:r>
          </w:p>
        </w:tc>
      </w:tr>
      <w:tr w14:paraId="2F2858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68EDE5A2">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1</w:t>
            </w:r>
          </w:p>
        </w:tc>
        <w:tc>
          <w:tcPr>
            <w:tcW w:w="1333" w:type="dxa"/>
            <w:vAlign w:val="center"/>
          </w:tcPr>
          <w:p w14:paraId="098F6699">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基于自行驱动的太阳能电池板清洗装置</w:t>
            </w:r>
          </w:p>
        </w:tc>
        <w:tc>
          <w:tcPr>
            <w:tcW w:w="4335" w:type="dxa"/>
            <w:vAlign w:val="center"/>
          </w:tcPr>
          <w:p w14:paraId="5D5FC0E4">
            <w:pPr>
              <w:keepNext w:val="0"/>
              <w:keepLines w:val="0"/>
              <w:pageBreakBefore w:val="0"/>
              <w:widowControl/>
              <w:kinsoku/>
              <w:wordWrap/>
              <w:overflowPunct/>
              <w:topLinePunct w:val="0"/>
              <w:autoSpaceDE/>
              <w:autoSpaceDN/>
              <w:bidi w:val="0"/>
              <w:adjustRightInd/>
              <w:snapToGrid/>
              <w:spacing w:line="640" w:lineRule="exact"/>
              <w:textAlignment w:val="center"/>
              <w:rPr>
                <w:rFonts w:hint="eastAsia" w:ascii="仿宋" w:hAnsi="仿宋" w:eastAsia="仿宋" w:cs="仿宋"/>
                <w:kern w:val="0"/>
                <w:sz w:val="22"/>
                <w:szCs w:val="22"/>
              </w:rPr>
            </w:pPr>
            <w:r>
              <w:rPr>
                <w:rFonts w:hint="eastAsia" w:ascii="仿宋" w:hAnsi="仿宋" w:eastAsia="仿宋" w:cs="仿宋"/>
                <w:kern w:val="0"/>
                <w:sz w:val="22"/>
                <w:szCs w:val="22"/>
              </w:rPr>
              <w:t>本发明是一种基于自行驱动的太阳能电池板清洗装置，实现滚刷在太阳能电池板表面往复移动清扫，只需一个驱动组件即可实现滚刷的两个复合动作，清洁效率高、清洁效果好，并且整体结构简单、运行稳定，利于在市场全面推广。</w:t>
            </w:r>
          </w:p>
        </w:tc>
        <w:tc>
          <w:tcPr>
            <w:tcW w:w="2520" w:type="dxa"/>
            <w:vAlign w:val="center"/>
          </w:tcPr>
          <w:p w14:paraId="3D77C558">
            <w:pPr>
              <w:keepNext w:val="0"/>
              <w:keepLines w:val="0"/>
              <w:pageBreakBefore w:val="0"/>
              <w:widowControl/>
              <w:kinsoku/>
              <w:wordWrap/>
              <w:overflowPunct/>
              <w:topLinePunct w:val="0"/>
              <w:autoSpaceDE/>
              <w:autoSpaceDN/>
              <w:bidi w:val="0"/>
              <w:adjustRightInd/>
              <w:snapToGrid/>
              <w:spacing w:line="640" w:lineRule="exact"/>
              <w:jc w:val="left"/>
              <w:textAlignment w:val="center"/>
              <w:rPr>
                <w:rFonts w:hint="eastAsia" w:ascii="仿宋" w:hAnsi="仿宋" w:eastAsia="仿宋" w:cs="仿宋"/>
                <w:kern w:val="0"/>
                <w:sz w:val="22"/>
                <w:szCs w:val="22"/>
              </w:rPr>
            </w:pPr>
            <w:r>
              <w:rPr>
                <w:rFonts w:hint="eastAsia" w:ascii="仿宋" w:hAnsi="仿宋" w:eastAsia="仿宋" w:cs="仿宋"/>
                <w:kern w:val="0"/>
                <w:sz w:val="22"/>
                <w:szCs w:val="22"/>
              </w:rPr>
              <w:t>李安生；张建伟；郭志强；田二林；马贺；李灏萱；李广棵；毛红生；陈华东</w:t>
            </w:r>
          </w:p>
        </w:tc>
        <w:tc>
          <w:tcPr>
            <w:tcW w:w="1080" w:type="dxa"/>
            <w:vAlign w:val="center"/>
          </w:tcPr>
          <w:p w14:paraId="36DA84A1">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长期使用权（1</w:t>
            </w:r>
            <w:r>
              <w:rPr>
                <w:rFonts w:ascii="仿宋" w:hAnsi="仿宋" w:eastAsia="仿宋" w:cs="仿宋"/>
                <w:kern w:val="0"/>
                <w:sz w:val="22"/>
                <w:szCs w:val="22"/>
              </w:rPr>
              <w:t>0</w:t>
            </w:r>
            <w:r>
              <w:rPr>
                <w:rFonts w:hint="eastAsia" w:ascii="仿宋" w:hAnsi="仿宋" w:eastAsia="仿宋" w:cs="仿宋"/>
                <w:kern w:val="0"/>
                <w:sz w:val="22"/>
                <w:szCs w:val="22"/>
              </w:rPr>
              <w:t>年）</w:t>
            </w:r>
          </w:p>
        </w:tc>
        <w:tc>
          <w:tcPr>
            <w:tcW w:w="750" w:type="dxa"/>
            <w:vAlign w:val="center"/>
          </w:tcPr>
          <w:p w14:paraId="781EEF26">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技术许可</w:t>
            </w:r>
          </w:p>
        </w:tc>
        <w:tc>
          <w:tcPr>
            <w:tcW w:w="1204" w:type="dxa"/>
            <w:vAlign w:val="center"/>
          </w:tcPr>
          <w:p w14:paraId="55C97CC4">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3</w:t>
            </w:r>
          </w:p>
        </w:tc>
        <w:tc>
          <w:tcPr>
            <w:tcW w:w="1285" w:type="dxa"/>
            <w:vAlign w:val="center"/>
          </w:tcPr>
          <w:p w14:paraId="2DC43DB3">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郑州永鼎电子科技有限公司</w:t>
            </w:r>
          </w:p>
        </w:tc>
        <w:tc>
          <w:tcPr>
            <w:tcW w:w="786" w:type="dxa"/>
            <w:vAlign w:val="center"/>
          </w:tcPr>
          <w:p w14:paraId="5C7FD557">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发明</w:t>
            </w:r>
          </w:p>
        </w:tc>
      </w:tr>
      <w:tr w14:paraId="7BC35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39CD78F2">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2</w:t>
            </w:r>
          </w:p>
        </w:tc>
        <w:tc>
          <w:tcPr>
            <w:tcW w:w="1333" w:type="dxa"/>
            <w:vAlign w:val="center"/>
          </w:tcPr>
          <w:p w14:paraId="1AA5A785">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基于连杆机构的私家车位倍增装置</w:t>
            </w:r>
          </w:p>
        </w:tc>
        <w:tc>
          <w:tcPr>
            <w:tcW w:w="4335" w:type="dxa"/>
            <w:vAlign w:val="center"/>
          </w:tcPr>
          <w:p w14:paraId="6018575B">
            <w:pPr>
              <w:keepNext w:val="0"/>
              <w:keepLines w:val="0"/>
              <w:pageBreakBefore w:val="0"/>
              <w:widowControl/>
              <w:kinsoku/>
              <w:wordWrap/>
              <w:overflowPunct/>
              <w:topLinePunct w:val="0"/>
              <w:autoSpaceDE/>
              <w:autoSpaceDN/>
              <w:bidi w:val="0"/>
              <w:adjustRightInd/>
              <w:snapToGrid/>
              <w:spacing w:line="640" w:lineRule="exact"/>
              <w:textAlignment w:val="center"/>
              <w:rPr>
                <w:rFonts w:hint="eastAsia" w:ascii="仿宋" w:hAnsi="仿宋" w:eastAsia="仿宋" w:cs="仿宋"/>
                <w:kern w:val="0"/>
                <w:sz w:val="22"/>
                <w:szCs w:val="22"/>
              </w:rPr>
            </w:pPr>
            <w:r>
              <w:rPr>
                <w:rFonts w:hint="eastAsia" w:ascii="仿宋" w:hAnsi="仿宋" w:eastAsia="仿宋" w:cs="仿宋"/>
                <w:kern w:val="0"/>
                <w:sz w:val="22"/>
                <w:szCs w:val="22"/>
              </w:rPr>
              <w:t>本发明涉及一种基于连杆机构的私家车位倍增装置，装置的复合停车托板的中部与底座上铰接的连杆机构的摇杆铰接，尾部通过轴承支座与立柱上滑动连接的齿轮轴固定连接，两个动力装置的联合动作能够实现复合停车托板的上升、下降和倾斜，复合停车托板升起后不影响下方正常停放汽车，倾斜时能够将其表面停放的车辆取出；本装置结构简单，运行可靠、成本低、易安装、易维护</w:t>
            </w:r>
          </w:p>
        </w:tc>
        <w:tc>
          <w:tcPr>
            <w:tcW w:w="2520" w:type="dxa"/>
            <w:vAlign w:val="center"/>
          </w:tcPr>
          <w:p w14:paraId="3F74D201">
            <w:pPr>
              <w:keepNext w:val="0"/>
              <w:keepLines w:val="0"/>
              <w:pageBreakBefore w:val="0"/>
              <w:widowControl/>
              <w:kinsoku/>
              <w:wordWrap/>
              <w:overflowPunct/>
              <w:topLinePunct w:val="0"/>
              <w:autoSpaceDE/>
              <w:autoSpaceDN/>
              <w:bidi w:val="0"/>
              <w:adjustRightInd/>
              <w:snapToGrid/>
              <w:spacing w:line="640" w:lineRule="exact"/>
              <w:textAlignment w:val="center"/>
              <w:rPr>
                <w:rFonts w:ascii="仿宋" w:hAnsi="仿宋" w:eastAsia="仿宋" w:cs="仿宋"/>
                <w:kern w:val="0"/>
                <w:sz w:val="22"/>
                <w:szCs w:val="22"/>
              </w:rPr>
            </w:pPr>
            <w:r>
              <w:rPr>
                <w:rFonts w:hint="eastAsia" w:ascii="仿宋" w:hAnsi="仿宋" w:eastAsia="仿宋" w:cs="仿宋"/>
                <w:kern w:val="0"/>
                <w:sz w:val="22"/>
                <w:szCs w:val="22"/>
              </w:rPr>
              <w:t>李安生;武丰龙;吴占超;李彦彦;张孟珂;屈</w:t>
            </w:r>
          </w:p>
          <w:p w14:paraId="20DC272F">
            <w:pPr>
              <w:keepNext w:val="0"/>
              <w:keepLines w:val="0"/>
              <w:pageBreakBefore w:val="0"/>
              <w:widowControl/>
              <w:kinsoku/>
              <w:wordWrap/>
              <w:overflowPunct/>
              <w:topLinePunct w:val="0"/>
              <w:autoSpaceDE/>
              <w:autoSpaceDN/>
              <w:bidi w:val="0"/>
              <w:adjustRightInd/>
              <w:snapToGrid/>
              <w:spacing w:line="640" w:lineRule="exact"/>
              <w:textAlignment w:val="center"/>
              <w:rPr>
                <w:rFonts w:hint="eastAsia" w:ascii="仿宋" w:hAnsi="仿宋" w:eastAsia="仿宋" w:cs="仿宋"/>
                <w:kern w:val="0"/>
                <w:sz w:val="22"/>
                <w:szCs w:val="22"/>
              </w:rPr>
            </w:pPr>
            <w:r>
              <w:rPr>
                <w:rFonts w:hint="eastAsia" w:ascii="仿宋" w:hAnsi="仿宋" w:eastAsia="仿宋" w:cs="仿宋"/>
                <w:kern w:val="0"/>
                <w:sz w:val="22"/>
                <w:szCs w:val="22"/>
              </w:rPr>
              <w:t>明强;王良文；杜文辽;刘欢;陈灿;郭瑜彬;冉鹏飞;刘凯旋</w:t>
            </w:r>
          </w:p>
        </w:tc>
        <w:tc>
          <w:tcPr>
            <w:tcW w:w="1080" w:type="dxa"/>
            <w:vAlign w:val="center"/>
          </w:tcPr>
          <w:p w14:paraId="38D809D8">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长期使用权（1</w:t>
            </w:r>
            <w:r>
              <w:rPr>
                <w:rFonts w:ascii="仿宋" w:hAnsi="仿宋" w:eastAsia="仿宋" w:cs="仿宋"/>
                <w:kern w:val="0"/>
                <w:sz w:val="22"/>
                <w:szCs w:val="22"/>
              </w:rPr>
              <w:t>0</w:t>
            </w:r>
            <w:r>
              <w:rPr>
                <w:rFonts w:hint="eastAsia" w:ascii="仿宋" w:hAnsi="仿宋" w:eastAsia="仿宋" w:cs="仿宋"/>
                <w:kern w:val="0"/>
                <w:sz w:val="22"/>
                <w:szCs w:val="22"/>
              </w:rPr>
              <w:t>年）</w:t>
            </w:r>
          </w:p>
        </w:tc>
        <w:tc>
          <w:tcPr>
            <w:tcW w:w="750" w:type="dxa"/>
            <w:vAlign w:val="center"/>
          </w:tcPr>
          <w:p w14:paraId="52FE8027">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技术许可</w:t>
            </w:r>
          </w:p>
        </w:tc>
        <w:tc>
          <w:tcPr>
            <w:tcW w:w="1204" w:type="dxa"/>
            <w:vAlign w:val="center"/>
          </w:tcPr>
          <w:p w14:paraId="08874C76">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3</w:t>
            </w:r>
          </w:p>
        </w:tc>
        <w:tc>
          <w:tcPr>
            <w:tcW w:w="1285" w:type="dxa"/>
            <w:vAlign w:val="center"/>
          </w:tcPr>
          <w:p w14:paraId="498CFABF">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郑州永鼎电子科技有限公司</w:t>
            </w:r>
          </w:p>
        </w:tc>
        <w:tc>
          <w:tcPr>
            <w:tcW w:w="786" w:type="dxa"/>
            <w:vAlign w:val="center"/>
          </w:tcPr>
          <w:p w14:paraId="407C4DD9">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发明</w:t>
            </w:r>
          </w:p>
        </w:tc>
      </w:tr>
      <w:tr w14:paraId="7C7671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49C812E9">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3</w:t>
            </w:r>
          </w:p>
        </w:tc>
        <w:tc>
          <w:tcPr>
            <w:tcW w:w="1333" w:type="dxa"/>
            <w:vAlign w:val="center"/>
          </w:tcPr>
          <w:p w14:paraId="1B8A4DE3">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非机动车双层停放系统</w:t>
            </w:r>
          </w:p>
        </w:tc>
        <w:tc>
          <w:tcPr>
            <w:tcW w:w="4335" w:type="dxa"/>
            <w:vAlign w:val="center"/>
          </w:tcPr>
          <w:p w14:paraId="23DABDC1">
            <w:pPr>
              <w:keepNext w:val="0"/>
              <w:keepLines w:val="0"/>
              <w:pageBreakBefore w:val="0"/>
              <w:widowControl/>
              <w:kinsoku/>
              <w:wordWrap/>
              <w:overflowPunct/>
              <w:topLinePunct w:val="0"/>
              <w:autoSpaceDE/>
              <w:autoSpaceDN/>
              <w:bidi w:val="0"/>
              <w:adjustRightInd/>
              <w:snapToGrid/>
              <w:spacing w:line="640" w:lineRule="exact"/>
              <w:textAlignment w:val="center"/>
              <w:rPr>
                <w:rFonts w:hint="eastAsia" w:ascii="仿宋" w:hAnsi="仿宋" w:eastAsia="仿宋" w:cs="仿宋"/>
                <w:kern w:val="0"/>
                <w:sz w:val="22"/>
                <w:szCs w:val="22"/>
              </w:rPr>
            </w:pPr>
            <w:r>
              <w:rPr>
                <w:rFonts w:hint="eastAsia" w:ascii="仿宋" w:hAnsi="仿宋" w:eastAsia="仿宋" w:cs="仿宋"/>
                <w:kern w:val="0"/>
                <w:sz w:val="22"/>
                <w:szCs w:val="22"/>
              </w:rPr>
              <w:t>本发明涉及一种非机动车双层停放系统,包括支撑框架、安装在支撑框架上的自行车载车板和电动推杆，支撑框架包括水平的自行车存放台，自行车存放台通过若干根竖直的立柱支撑，并形成位于自行车存放台下方的电动车存储区，从而将电动车和自行车分开存放，可以便捷、有序地停靠非机动车，增多了停车位，节省了空间，具有规范程度高、可靠安全、成本低等优点</w:t>
            </w:r>
          </w:p>
        </w:tc>
        <w:tc>
          <w:tcPr>
            <w:tcW w:w="2520" w:type="dxa"/>
            <w:vAlign w:val="center"/>
          </w:tcPr>
          <w:p w14:paraId="0E372018">
            <w:pPr>
              <w:keepNext w:val="0"/>
              <w:keepLines w:val="0"/>
              <w:pageBreakBefore w:val="0"/>
              <w:widowControl/>
              <w:kinsoku/>
              <w:wordWrap/>
              <w:overflowPunct/>
              <w:topLinePunct w:val="0"/>
              <w:autoSpaceDE/>
              <w:autoSpaceDN/>
              <w:bidi w:val="0"/>
              <w:adjustRightInd/>
              <w:snapToGrid/>
              <w:spacing w:line="640" w:lineRule="exact"/>
              <w:textAlignment w:val="center"/>
              <w:rPr>
                <w:rFonts w:ascii="仿宋" w:hAnsi="仿宋" w:eastAsia="仿宋" w:cs="仿宋"/>
                <w:kern w:val="0"/>
                <w:sz w:val="22"/>
                <w:szCs w:val="22"/>
              </w:rPr>
            </w:pPr>
            <w:r>
              <w:rPr>
                <w:rFonts w:hint="eastAsia" w:ascii="仿宋" w:hAnsi="仿宋" w:eastAsia="仿宋" w:cs="仿宋"/>
                <w:kern w:val="0"/>
                <w:sz w:val="22"/>
                <w:szCs w:val="22"/>
              </w:rPr>
              <w:t>李安生;武丰龙;吴占超;李彦彦;张孟珂;屈</w:t>
            </w:r>
          </w:p>
          <w:p w14:paraId="19AE691C">
            <w:pPr>
              <w:keepNext w:val="0"/>
              <w:keepLines w:val="0"/>
              <w:pageBreakBefore w:val="0"/>
              <w:widowControl/>
              <w:kinsoku/>
              <w:wordWrap/>
              <w:overflowPunct/>
              <w:topLinePunct w:val="0"/>
              <w:autoSpaceDE/>
              <w:autoSpaceDN/>
              <w:bidi w:val="0"/>
              <w:adjustRightInd/>
              <w:snapToGrid/>
              <w:spacing w:line="640" w:lineRule="exact"/>
              <w:textAlignment w:val="center"/>
              <w:rPr>
                <w:rFonts w:hint="eastAsia" w:ascii="仿宋" w:hAnsi="仿宋" w:eastAsia="仿宋" w:cs="仿宋"/>
                <w:kern w:val="0"/>
                <w:sz w:val="22"/>
                <w:szCs w:val="22"/>
              </w:rPr>
            </w:pPr>
            <w:r>
              <w:rPr>
                <w:rFonts w:hint="eastAsia" w:ascii="仿宋" w:hAnsi="仿宋" w:eastAsia="仿宋" w:cs="仿宋"/>
                <w:kern w:val="0"/>
                <w:sz w:val="22"/>
                <w:szCs w:val="22"/>
              </w:rPr>
              <w:t>明强;王良文；杜文辽;刘欢;陈灿;郭瑜彬;冉鹏飞;刘凯旋</w:t>
            </w:r>
          </w:p>
        </w:tc>
        <w:tc>
          <w:tcPr>
            <w:tcW w:w="1080" w:type="dxa"/>
            <w:vAlign w:val="center"/>
          </w:tcPr>
          <w:p w14:paraId="53032266">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长期使用权（1</w:t>
            </w:r>
            <w:r>
              <w:rPr>
                <w:rFonts w:ascii="仿宋" w:hAnsi="仿宋" w:eastAsia="仿宋" w:cs="仿宋"/>
                <w:kern w:val="0"/>
                <w:sz w:val="22"/>
                <w:szCs w:val="22"/>
              </w:rPr>
              <w:t>0</w:t>
            </w:r>
            <w:r>
              <w:rPr>
                <w:rFonts w:hint="eastAsia" w:ascii="仿宋" w:hAnsi="仿宋" w:eastAsia="仿宋" w:cs="仿宋"/>
                <w:kern w:val="0"/>
                <w:sz w:val="22"/>
                <w:szCs w:val="22"/>
              </w:rPr>
              <w:t>年）</w:t>
            </w:r>
          </w:p>
        </w:tc>
        <w:tc>
          <w:tcPr>
            <w:tcW w:w="750" w:type="dxa"/>
            <w:vAlign w:val="center"/>
          </w:tcPr>
          <w:p w14:paraId="3A4B8AFB">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技术许可</w:t>
            </w:r>
          </w:p>
        </w:tc>
        <w:tc>
          <w:tcPr>
            <w:tcW w:w="1204" w:type="dxa"/>
            <w:vAlign w:val="center"/>
          </w:tcPr>
          <w:p w14:paraId="7F1F968C">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3</w:t>
            </w:r>
          </w:p>
        </w:tc>
        <w:tc>
          <w:tcPr>
            <w:tcW w:w="1285" w:type="dxa"/>
            <w:vAlign w:val="center"/>
          </w:tcPr>
          <w:p w14:paraId="79DF711E">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郑州永鼎电子科技有限公司</w:t>
            </w:r>
          </w:p>
        </w:tc>
        <w:tc>
          <w:tcPr>
            <w:tcW w:w="786" w:type="dxa"/>
            <w:vAlign w:val="center"/>
          </w:tcPr>
          <w:p w14:paraId="0C037A45">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发明</w:t>
            </w:r>
          </w:p>
        </w:tc>
      </w:tr>
      <w:tr w14:paraId="16A74A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5DEF8079">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4</w:t>
            </w:r>
          </w:p>
        </w:tc>
        <w:tc>
          <w:tcPr>
            <w:tcW w:w="1333" w:type="dxa"/>
            <w:vAlign w:val="center"/>
          </w:tcPr>
          <w:p w14:paraId="48209712">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钢丝绳中心驱动多层住宅用电梯</w:t>
            </w:r>
          </w:p>
        </w:tc>
        <w:tc>
          <w:tcPr>
            <w:tcW w:w="4335" w:type="dxa"/>
            <w:vAlign w:val="center"/>
          </w:tcPr>
          <w:p w14:paraId="255063B5">
            <w:pPr>
              <w:keepNext w:val="0"/>
              <w:keepLines w:val="0"/>
              <w:pageBreakBefore w:val="0"/>
              <w:widowControl/>
              <w:kinsoku/>
              <w:wordWrap/>
              <w:overflowPunct/>
              <w:topLinePunct w:val="0"/>
              <w:autoSpaceDE/>
              <w:autoSpaceDN/>
              <w:bidi w:val="0"/>
              <w:adjustRightInd/>
              <w:snapToGrid/>
              <w:spacing w:line="640" w:lineRule="exact"/>
              <w:textAlignment w:val="center"/>
              <w:rPr>
                <w:rFonts w:hint="eastAsia" w:ascii="仿宋" w:hAnsi="仿宋" w:eastAsia="仿宋" w:cs="仿宋"/>
                <w:kern w:val="0"/>
                <w:sz w:val="22"/>
                <w:szCs w:val="22"/>
              </w:rPr>
            </w:pPr>
            <w:r>
              <w:rPr>
                <w:rFonts w:hint="eastAsia" w:ascii="仿宋" w:hAnsi="仿宋" w:eastAsia="仿宋" w:cs="仿宋"/>
                <w:kern w:val="0"/>
                <w:sz w:val="22"/>
                <w:szCs w:val="22"/>
              </w:rPr>
              <w:t>本发明涉及一种钢丝绳中心驱动的住宅用电梯，采空心的支撑立柱作为支撑电梯升降的架体，电梯箱套装在外部，适合于多层楼房使用，单户可用，多户也可以用，解决安装电梯时的协商问题，用技术来化解社会问题，便于推广应用。</w:t>
            </w:r>
          </w:p>
        </w:tc>
        <w:tc>
          <w:tcPr>
            <w:tcW w:w="2520" w:type="dxa"/>
            <w:vAlign w:val="center"/>
          </w:tcPr>
          <w:p w14:paraId="180DEC40">
            <w:pPr>
              <w:keepNext w:val="0"/>
              <w:keepLines w:val="0"/>
              <w:pageBreakBefore w:val="0"/>
              <w:widowControl/>
              <w:kinsoku/>
              <w:wordWrap/>
              <w:overflowPunct/>
              <w:topLinePunct w:val="0"/>
              <w:autoSpaceDE/>
              <w:autoSpaceDN/>
              <w:bidi w:val="0"/>
              <w:adjustRightInd/>
              <w:snapToGrid/>
              <w:spacing w:line="640" w:lineRule="exact"/>
              <w:textAlignment w:val="center"/>
              <w:rPr>
                <w:rFonts w:hint="eastAsia" w:ascii="仿宋" w:hAnsi="仿宋" w:eastAsia="仿宋" w:cs="仿宋"/>
                <w:kern w:val="0"/>
                <w:sz w:val="22"/>
                <w:szCs w:val="22"/>
              </w:rPr>
            </w:pPr>
            <w:r>
              <w:rPr>
                <w:rFonts w:hint="eastAsia" w:ascii="仿宋" w:hAnsi="仿宋" w:eastAsia="仿宋" w:cs="仿宋"/>
                <w:kern w:val="0"/>
                <w:sz w:val="22"/>
                <w:szCs w:val="22"/>
              </w:rPr>
              <w:t>李安生；李牧远；邱鸽；李雨茜；郭志强；刘洁；郭瑜彬；邱小伟</w:t>
            </w:r>
          </w:p>
        </w:tc>
        <w:tc>
          <w:tcPr>
            <w:tcW w:w="1080" w:type="dxa"/>
            <w:vAlign w:val="center"/>
          </w:tcPr>
          <w:p w14:paraId="692D1064">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长期使用权（1</w:t>
            </w:r>
            <w:r>
              <w:rPr>
                <w:rFonts w:ascii="仿宋" w:hAnsi="仿宋" w:eastAsia="仿宋" w:cs="仿宋"/>
                <w:kern w:val="0"/>
                <w:sz w:val="22"/>
                <w:szCs w:val="22"/>
              </w:rPr>
              <w:t>0</w:t>
            </w:r>
            <w:r>
              <w:rPr>
                <w:rFonts w:hint="eastAsia" w:ascii="仿宋" w:hAnsi="仿宋" w:eastAsia="仿宋" w:cs="仿宋"/>
                <w:kern w:val="0"/>
                <w:sz w:val="22"/>
                <w:szCs w:val="22"/>
              </w:rPr>
              <w:t>年）</w:t>
            </w:r>
          </w:p>
        </w:tc>
        <w:tc>
          <w:tcPr>
            <w:tcW w:w="750" w:type="dxa"/>
            <w:vAlign w:val="center"/>
          </w:tcPr>
          <w:p w14:paraId="00DAAE90">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技术许可</w:t>
            </w:r>
          </w:p>
        </w:tc>
        <w:tc>
          <w:tcPr>
            <w:tcW w:w="1204" w:type="dxa"/>
            <w:vAlign w:val="center"/>
          </w:tcPr>
          <w:p w14:paraId="606782CF">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3</w:t>
            </w:r>
          </w:p>
        </w:tc>
        <w:tc>
          <w:tcPr>
            <w:tcW w:w="1285" w:type="dxa"/>
            <w:vAlign w:val="center"/>
          </w:tcPr>
          <w:p w14:paraId="7E121763">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郑州永鼎电子科技有限公司</w:t>
            </w:r>
          </w:p>
        </w:tc>
        <w:tc>
          <w:tcPr>
            <w:tcW w:w="786" w:type="dxa"/>
            <w:vAlign w:val="center"/>
          </w:tcPr>
          <w:p w14:paraId="1718349E">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发明</w:t>
            </w:r>
          </w:p>
        </w:tc>
      </w:tr>
      <w:tr w14:paraId="61A1E8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4776E52A">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5</w:t>
            </w:r>
          </w:p>
        </w:tc>
        <w:tc>
          <w:tcPr>
            <w:tcW w:w="1333" w:type="dxa"/>
            <w:vAlign w:val="center"/>
          </w:tcPr>
          <w:p w14:paraId="37426934">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齿轮齿条中心驱动的多层楼房用电梯</w:t>
            </w:r>
          </w:p>
        </w:tc>
        <w:tc>
          <w:tcPr>
            <w:tcW w:w="4335" w:type="dxa"/>
            <w:vAlign w:val="center"/>
          </w:tcPr>
          <w:p w14:paraId="09CACDC8">
            <w:pPr>
              <w:keepNext w:val="0"/>
              <w:keepLines w:val="0"/>
              <w:pageBreakBefore w:val="0"/>
              <w:widowControl/>
              <w:kinsoku/>
              <w:wordWrap/>
              <w:overflowPunct/>
              <w:topLinePunct w:val="0"/>
              <w:autoSpaceDE/>
              <w:autoSpaceDN/>
              <w:bidi w:val="0"/>
              <w:adjustRightInd/>
              <w:snapToGrid/>
              <w:spacing w:line="640" w:lineRule="exact"/>
              <w:textAlignment w:val="center"/>
              <w:rPr>
                <w:rFonts w:hint="eastAsia" w:ascii="仿宋" w:hAnsi="仿宋" w:eastAsia="仿宋" w:cs="仿宋"/>
                <w:kern w:val="0"/>
                <w:sz w:val="22"/>
                <w:szCs w:val="22"/>
              </w:rPr>
            </w:pPr>
            <w:r>
              <w:rPr>
                <w:rFonts w:hint="eastAsia" w:ascii="仿宋" w:hAnsi="仿宋" w:eastAsia="仿宋" w:cs="仿宋"/>
                <w:kern w:val="0"/>
                <w:sz w:val="22"/>
                <w:szCs w:val="22"/>
              </w:rPr>
              <w:t>本发明一种该齿轮齿条中心驱动的楼房用电梯，采中心立柱作为支撑电梯升降的架体，电梯箱套装在外部，中心立柱的下端固定在地面内的混凝土基座中，电梯箱上的驱动装置和中心立柱上的齿条负责电梯箱的升降运动，适合于多层楼房使用，单户可用，多户也可以用，用技术来化解社会问题，便于推广应用。</w:t>
            </w:r>
          </w:p>
        </w:tc>
        <w:tc>
          <w:tcPr>
            <w:tcW w:w="2520" w:type="dxa"/>
            <w:vAlign w:val="center"/>
          </w:tcPr>
          <w:p w14:paraId="4445159F">
            <w:pPr>
              <w:keepNext w:val="0"/>
              <w:keepLines w:val="0"/>
              <w:pageBreakBefore w:val="0"/>
              <w:widowControl/>
              <w:kinsoku/>
              <w:wordWrap/>
              <w:overflowPunct/>
              <w:topLinePunct w:val="0"/>
              <w:autoSpaceDE/>
              <w:autoSpaceDN/>
              <w:bidi w:val="0"/>
              <w:adjustRightInd/>
              <w:snapToGrid/>
              <w:spacing w:line="640" w:lineRule="exact"/>
              <w:textAlignment w:val="center"/>
              <w:rPr>
                <w:rFonts w:hint="eastAsia" w:ascii="仿宋" w:hAnsi="仿宋" w:eastAsia="仿宋" w:cs="仿宋"/>
                <w:kern w:val="0"/>
                <w:sz w:val="22"/>
                <w:szCs w:val="22"/>
              </w:rPr>
            </w:pPr>
            <w:r>
              <w:rPr>
                <w:rFonts w:hint="eastAsia" w:ascii="仿宋" w:hAnsi="仿宋" w:eastAsia="仿宋" w:cs="仿宋"/>
                <w:kern w:val="0"/>
                <w:sz w:val="22"/>
                <w:szCs w:val="22"/>
              </w:rPr>
              <w:t>李安生；李牧远；李雨茜；邱小伟；李彦彦；李疑；冉鹏飞；邱龙勋</w:t>
            </w:r>
          </w:p>
        </w:tc>
        <w:tc>
          <w:tcPr>
            <w:tcW w:w="1080" w:type="dxa"/>
            <w:vAlign w:val="center"/>
          </w:tcPr>
          <w:p w14:paraId="295B55CC">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长期使用权（1</w:t>
            </w:r>
            <w:r>
              <w:rPr>
                <w:rFonts w:ascii="仿宋" w:hAnsi="仿宋" w:eastAsia="仿宋" w:cs="仿宋"/>
                <w:kern w:val="0"/>
                <w:sz w:val="22"/>
                <w:szCs w:val="22"/>
              </w:rPr>
              <w:t>0</w:t>
            </w:r>
            <w:r>
              <w:rPr>
                <w:rFonts w:hint="eastAsia" w:ascii="仿宋" w:hAnsi="仿宋" w:eastAsia="仿宋" w:cs="仿宋"/>
                <w:kern w:val="0"/>
                <w:sz w:val="22"/>
                <w:szCs w:val="22"/>
              </w:rPr>
              <w:t>年）</w:t>
            </w:r>
          </w:p>
        </w:tc>
        <w:tc>
          <w:tcPr>
            <w:tcW w:w="750" w:type="dxa"/>
            <w:vAlign w:val="center"/>
          </w:tcPr>
          <w:p w14:paraId="2FF72F34">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技术许可</w:t>
            </w:r>
          </w:p>
        </w:tc>
        <w:tc>
          <w:tcPr>
            <w:tcW w:w="1204" w:type="dxa"/>
            <w:vAlign w:val="center"/>
          </w:tcPr>
          <w:p w14:paraId="38DAAB4B">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3</w:t>
            </w:r>
          </w:p>
        </w:tc>
        <w:tc>
          <w:tcPr>
            <w:tcW w:w="1285" w:type="dxa"/>
            <w:vAlign w:val="center"/>
          </w:tcPr>
          <w:p w14:paraId="37EA2813">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郑州永鼎电子科技有限公司</w:t>
            </w:r>
          </w:p>
        </w:tc>
        <w:tc>
          <w:tcPr>
            <w:tcW w:w="786" w:type="dxa"/>
            <w:vAlign w:val="center"/>
          </w:tcPr>
          <w:p w14:paraId="2D1033D9">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发明</w:t>
            </w:r>
          </w:p>
        </w:tc>
      </w:tr>
      <w:tr w14:paraId="12694B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500496D3">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6</w:t>
            </w:r>
          </w:p>
        </w:tc>
        <w:tc>
          <w:tcPr>
            <w:tcW w:w="1333" w:type="dxa"/>
            <w:shd w:val="clear" w:color="auto" w:fill="auto"/>
            <w:vAlign w:val="center"/>
          </w:tcPr>
          <w:p w14:paraId="0714077C">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Times New Roman" w:hAnsi="仿宋" w:eastAsia="仿宋"/>
                <w:sz w:val="22"/>
                <w:szCs w:val="22"/>
              </w:rPr>
              <w:t>基于内容积比可调节的回转活塞式补气压缩机及空调系统</w:t>
            </w:r>
          </w:p>
        </w:tc>
        <w:tc>
          <w:tcPr>
            <w:tcW w:w="4335" w:type="dxa"/>
            <w:shd w:val="clear" w:color="auto" w:fill="auto"/>
            <w:vAlign w:val="center"/>
          </w:tcPr>
          <w:p w14:paraId="43880E0A">
            <w:pPr>
              <w:keepNext w:val="0"/>
              <w:keepLines w:val="0"/>
              <w:pageBreakBefore w:val="0"/>
              <w:widowControl/>
              <w:kinsoku/>
              <w:wordWrap/>
              <w:overflowPunct/>
              <w:topLinePunct w:val="0"/>
              <w:autoSpaceDE/>
              <w:autoSpaceDN/>
              <w:bidi w:val="0"/>
              <w:adjustRightInd/>
              <w:snapToGrid/>
              <w:spacing w:before="78" w:line="640" w:lineRule="exact"/>
              <w:jc w:val="left"/>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本发明提出了基于内容积比可调节的回转活塞式补气压缩机及空调系统,结构紧凑,通过实现回转活塞式补气压缩的功能,不仅能够提高传统活塞式压缩机的容积利用率,简化吸排气方式简化压缩机补气,而且能够随时调节内容积比.</w:t>
            </w:r>
          </w:p>
        </w:tc>
        <w:tc>
          <w:tcPr>
            <w:tcW w:w="2520" w:type="dxa"/>
            <w:shd w:val="clear" w:color="auto" w:fill="auto"/>
            <w:vAlign w:val="center"/>
          </w:tcPr>
          <w:p w14:paraId="174A8BD7">
            <w:pPr>
              <w:keepNext w:val="0"/>
              <w:keepLines w:val="0"/>
              <w:pageBreakBefore w:val="0"/>
              <w:widowControl/>
              <w:kinsoku/>
              <w:wordWrap/>
              <w:overflowPunct/>
              <w:topLinePunct w:val="0"/>
              <w:autoSpaceDE/>
              <w:autoSpaceDN/>
              <w:bidi w:val="0"/>
              <w:adjustRightInd/>
              <w:snapToGrid/>
              <w:spacing w:line="640" w:lineRule="exact"/>
              <w:jc w:val="left"/>
              <w:rPr>
                <w:rFonts w:hint="eastAsia" w:ascii="仿宋" w:hAnsi="仿宋" w:eastAsia="仿宋" w:cs="仿宋"/>
                <w:snapToGrid w:val="0"/>
                <w:color w:val="000000"/>
                <w:spacing w:val="-4"/>
                <w:kern w:val="0"/>
                <w:sz w:val="22"/>
                <w:szCs w:val="22"/>
                <w:lang w:val="en-US" w:eastAsia="zh-CN" w:bidi="ar-SA"/>
              </w:rPr>
            </w:pPr>
            <w:r>
              <w:rPr>
                <w:rFonts w:hint="eastAsia" w:ascii="Times New Roman" w:hAnsi="仿宋" w:eastAsia="仿宋"/>
                <w:color w:val="333333"/>
                <w:kern w:val="0"/>
                <w:sz w:val="22"/>
                <w:szCs w:val="22"/>
              </w:rPr>
              <w:t>王涛，马家豪，齐强，王金，展登一</w:t>
            </w:r>
          </w:p>
        </w:tc>
        <w:tc>
          <w:tcPr>
            <w:tcW w:w="1080" w:type="dxa"/>
            <w:shd w:val="clear" w:color="auto" w:fill="auto"/>
            <w:vAlign w:val="center"/>
          </w:tcPr>
          <w:p w14:paraId="6736E90B">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长期使用权（10年）</w:t>
            </w:r>
          </w:p>
        </w:tc>
        <w:tc>
          <w:tcPr>
            <w:tcW w:w="750" w:type="dxa"/>
            <w:shd w:val="clear" w:color="auto" w:fill="auto"/>
            <w:vAlign w:val="center"/>
          </w:tcPr>
          <w:p w14:paraId="30F18649">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kern w:val="2"/>
                <w:sz w:val="22"/>
                <w:szCs w:val="22"/>
                <w:lang w:val="en-US" w:eastAsia="zh-CN" w:bidi="ar-SA"/>
              </w:rPr>
            </w:pPr>
            <w:r>
              <w:rPr>
                <w:rFonts w:hint="eastAsia" w:ascii="仿宋" w:hAnsi="仿宋" w:eastAsia="仿宋" w:cs="仿宋"/>
                <w:sz w:val="22"/>
                <w:szCs w:val="22"/>
              </w:rPr>
              <w:t>技术许可</w:t>
            </w:r>
          </w:p>
        </w:tc>
        <w:tc>
          <w:tcPr>
            <w:tcW w:w="1204" w:type="dxa"/>
            <w:shd w:val="clear" w:color="auto" w:fill="auto"/>
            <w:vAlign w:val="center"/>
          </w:tcPr>
          <w:p w14:paraId="720FFA7B">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kern w:val="2"/>
                <w:sz w:val="22"/>
                <w:szCs w:val="22"/>
                <w:lang w:val="en-US" w:eastAsia="zh-CN" w:bidi="ar-SA"/>
              </w:rPr>
            </w:pPr>
            <w:r>
              <w:rPr>
                <w:rFonts w:ascii="仿宋" w:hAnsi="仿宋" w:eastAsia="仿宋" w:cs="仿宋"/>
                <w:sz w:val="22"/>
                <w:szCs w:val="22"/>
              </w:rPr>
              <w:t>3.1</w:t>
            </w:r>
          </w:p>
        </w:tc>
        <w:tc>
          <w:tcPr>
            <w:tcW w:w="1285" w:type="dxa"/>
            <w:shd w:val="clear" w:color="auto" w:fill="auto"/>
            <w:vAlign w:val="center"/>
          </w:tcPr>
          <w:p w14:paraId="56A0C650">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snapToGrid w:val="0"/>
                <w:color w:val="000000"/>
                <w:spacing w:val="-3"/>
                <w:kern w:val="0"/>
                <w:sz w:val="22"/>
                <w:szCs w:val="22"/>
                <w:lang w:val="en-US" w:eastAsia="zh-CN" w:bidi="ar-SA"/>
              </w:rPr>
            </w:pPr>
            <w:r>
              <w:rPr>
                <w:rFonts w:hint="eastAsia" w:ascii="Times New Roman" w:hAnsi="仿宋" w:eastAsia="仿宋"/>
                <w:sz w:val="22"/>
                <w:szCs w:val="22"/>
              </w:rPr>
              <w:t>新乡中资制冷设备有限责任公司</w:t>
            </w:r>
            <w:r>
              <w:rPr>
                <w:rFonts w:ascii="Times New Roman" w:hAnsi="Times New Roman" w:eastAsia="仿宋"/>
                <w:sz w:val="22"/>
                <w:szCs w:val="22"/>
              </w:rPr>
              <w:t xml:space="preserve"> </w:t>
            </w:r>
          </w:p>
        </w:tc>
        <w:tc>
          <w:tcPr>
            <w:tcW w:w="786" w:type="dxa"/>
            <w:shd w:val="clear" w:color="auto" w:fill="auto"/>
            <w:vAlign w:val="center"/>
          </w:tcPr>
          <w:p w14:paraId="0AA99930">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kern w:val="2"/>
                <w:sz w:val="22"/>
                <w:szCs w:val="22"/>
                <w:lang w:val="en-US" w:eastAsia="zh-CN" w:bidi="ar-SA"/>
              </w:rPr>
            </w:pPr>
          </w:p>
        </w:tc>
      </w:tr>
      <w:tr w14:paraId="1D7221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59E1825D">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7</w:t>
            </w:r>
          </w:p>
        </w:tc>
        <w:tc>
          <w:tcPr>
            <w:tcW w:w="1333" w:type="dxa"/>
            <w:shd w:val="clear" w:color="auto" w:fill="auto"/>
            <w:vAlign w:val="center"/>
          </w:tcPr>
          <w:p w14:paraId="210677F9">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snapToGrid w:val="0"/>
                <w:color w:val="000000"/>
                <w:spacing w:val="-4"/>
                <w:kern w:val="0"/>
                <w:sz w:val="22"/>
                <w:szCs w:val="22"/>
                <w:lang w:val="en-US" w:eastAsia="zh-CN" w:bidi="ar-SA"/>
              </w:rPr>
            </w:pPr>
            <w:r>
              <w:rPr>
                <w:rFonts w:ascii="FZSongS--GB1-5" w:hAnsi="FZSongS--GB1-5"/>
                <w:color w:val="000000"/>
                <w:sz w:val="22"/>
                <w:szCs w:val="22"/>
              </w:rPr>
              <w:t>一种苹果采摘机器人手部结构</w:t>
            </w:r>
          </w:p>
        </w:tc>
        <w:tc>
          <w:tcPr>
            <w:tcW w:w="4335" w:type="dxa"/>
            <w:shd w:val="clear" w:color="auto" w:fill="auto"/>
            <w:vAlign w:val="center"/>
          </w:tcPr>
          <w:p w14:paraId="0427824C">
            <w:pPr>
              <w:keepNext w:val="0"/>
              <w:keepLines w:val="0"/>
              <w:pageBreakBefore w:val="0"/>
              <w:widowControl/>
              <w:kinsoku/>
              <w:wordWrap/>
              <w:overflowPunct/>
              <w:topLinePunct w:val="0"/>
              <w:autoSpaceDE/>
              <w:autoSpaceDN/>
              <w:bidi w:val="0"/>
              <w:adjustRightInd/>
              <w:snapToGrid/>
              <w:spacing w:before="78" w:line="640" w:lineRule="exact"/>
              <w:ind w:firstLine="424" w:firstLineChars="200"/>
              <w:jc w:val="left"/>
              <w:rPr>
                <w:rFonts w:hint="eastAsia" w:ascii="仿宋" w:hAnsi="仿宋" w:eastAsia="仿宋" w:cs="仿宋"/>
                <w:snapToGrid w:val="0"/>
                <w:color w:val="000000"/>
                <w:spacing w:val="-4"/>
                <w:kern w:val="0"/>
                <w:sz w:val="22"/>
                <w:szCs w:val="22"/>
                <w:lang w:val="en-US" w:eastAsia="zh-CN" w:bidi="ar-SA"/>
              </w:rPr>
            </w:pPr>
            <w:r>
              <w:rPr>
                <w:rFonts w:ascii="仿宋" w:hAnsi="仿宋" w:eastAsia="仿宋" w:cs="仿宋"/>
                <w:spacing w:val="-4"/>
                <w:sz w:val="22"/>
                <w:szCs w:val="22"/>
              </w:rPr>
              <w:t>本发明提出一种苹果采摘机器人手部结构，包括支撑法兰和支撑杆，支撑法兰与支撑杆连接，所述的支撑杆与固定环连接，固定环上设有活动的抓取手指和剪切手指，抓取手指与伸缩机构I活动连接，剪切手指与伸缩机构II活动连接。</w:t>
            </w:r>
          </w:p>
        </w:tc>
        <w:tc>
          <w:tcPr>
            <w:tcW w:w="2520" w:type="dxa"/>
            <w:shd w:val="clear" w:color="auto" w:fill="auto"/>
            <w:vAlign w:val="center"/>
          </w:tcPr>
          <w:p w14:paraId="1E7FD901">
            <w:pPr>
              <w:keepNext w:val="0"/>
              <w:keepLines w:val="0"/>
              <w:pageBreakBefore w:val="0"/>
              <w:widowControl/>
              <w:kinsoku/>
              <w:wordWrap/>
              <w:overflowPunct/>
              <w:topLinePunct w:val="0"/>
              <w:autoSpaceDE/>
              <w:autoSpaceDN/>
              <w:bidi w:val="0"/>
              <w:adjustRightInd/>
              <w:snapToGrid/>
              <w:spacing w:line="640" w:lineRule="exact"/>
              <w:jc w:val="left"/>
              <w:rPr>
                <w:rFonts w:hint="eastAsia" w:ascii="仿宋" w:hAnsi="仿宋" w:eastAsia="仿宋" w:cs="仿宋"/>
                <w:snapToGrid w:val="0"/>
                <w:color w:val="000000"/>
                <w:spacing w:val="-4"/>
                <w:kern w:val="0"/>
                <w:sz w:val="22"/>
                <w:szCs w:val="22"/>
                <w:lang w:val="en-US" w:eastAsia="zh-CN" w:bidi="ar-SA"/>
              </w:rPr>
            </w:pPr>
            <w:r>
              <w:rPr>
                <w:rFonts w:ascii="FZSongS--GB1-5" w:hAnsi="FZSongS--GB1-5"/>
                <w:color w:val="000000"/>
                <w:sz w:val="22"/>
                <w:szCs w:val="22"/>
              </w:rPr>
              <w:t>王才东;王新杰;崔光珍;陈鹿民;何文斌;肖艳秋;胡坤 董祥升;王团辉;韩家浩;张昊田;刘丰阳</w:t>
            </w:r>
          </w:p>
        </w:tc>
        <w:tc>
          <w:tcPr>
            <w:tcW w:w="1080" w:type="dxa"/>
            <w:shd w:val="clear" w:color="auto" w:fill="auto"/>
            <w:vAlign w:val="center"/>
          </w:tcPr>
          <w:p w14:paraId="5AE462DE">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长期使用权（10年）</w:t>
            </w:r>
          </w:p>
        </w:tc>
        <w:tc>
          <w:tcPr>
            <w:tcW w:w="750" w:type="dxa"/>
            <w:shd w:val="clear" w:color="auto" w:fill="auto"/>
            <w:vAlign w:val="center"/>
          </w:tcPr>
          <w:p w14:paraId="1C6EC827">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kern w:val="2"/>
                <w:sz w:val="22"/>
                <w:szCs w:val="22"/>
                <w:lang w:val="en-US" w:eastAsia="zh-CN" w:bidi="ar-SA"/>
              </w:rPr>
            </w:pPr>
            <w:r>
              <w:rPr>
                <w:rFonts w:hint="eastAsia" w:ascii="仿宋" w:hAnsi="仿宋" w:eastAsia="仿宋" w:cs="仿宋"/>
                <w:sz w:val="22"/>
                <w:szCs w:val="22"/>
              </w:rPr>
              <w:t>技术许可</w:t>
            </w:r>
          </w:p>
        </w:tc>
        <w:tc>
          <w:tcPr>
            <w:tcW w:w="1204" w:type="dxa"/>
            <w:shd w:val="clear" w:color="auto" w:fill="auto"/>
            <w:vAlign w:val="center"/>
          </w:tcPr>
          <w:p w14:paraId="613E395D">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kern w:val="2"/>
                <w:sz w:val="22"/>
                <w:szCs w:val="22"/>
                <w:lang w:val="en-US" w:eastAsia="zh-CN" w:bidi="ar-SA"/>
              </w:rPr>
            </w:pPr>
            <w:r>
              <w:rPr>
                <w:rFonts w:hint="eastAsia" w:ascii="仿宋" w:hAnsi="仿宋" w:eastAsia="仿宋" w:cs="仿宋"/>
                <w:sz w:val="22"/>
                <w:szCs w:val="22"/>
              </w:rPr>
              <w:t>4</w:t>
            </w:r>
          </w:p>
        </w:tc>
        <w:tc>
          <w:tcPr>
            <w:tcW w:w="1285" w:type="dxa"/>
            <w:shd w:val="clear" w:color="auto" w:fill="auto"/>
            <w:vAlign w:val="center"/>
          </w:tcPr>
          <w:p w14:paraId="5BDA4225">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kern w:val="2"/>
                <w:sz w:val="22"/>
                <w:szCs w:val="22"/>
                <w:lang w:val="en-US" w:eastAsia="zh-CN" w:bidi="ar-SA"/>
              </w:rPr>
            </w:pPr>
            <w:r>
              <w:rPr>
                <w:rFonts w:hint="eastAsia" w:ascii="仿宋" w:hAnsi="仿宋" w:eastAsia="仿宋" w:cs="仿宋"/>
                <w:sz w:val="22"/>
                <w:szCs w:val="22"/>
              </w:rPr>
              <w:t>郑州科慧科技股份有限公司</w:t>
            </w:r>
          </w:p>
        </w:tc>
        <w:tc>
          <w:tcPr>
            <w:tcW w:w="786" w:type="dxa"/>
            <w:shd w:val="clear" w:color="auto" w:fill="auto"/>
            <w:vAlign w:val="center"/>
          </w:tcPr>
          <w:p w14:paraId="338280F0">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kern w:val="2"/>
                <w:sz w:val="22"/>
                <w:szCs w:val="22"/>
                <w:lang w:val="en-US" w:eastAsia="zh-CN" w:bidi="ar-SA"/>
              </w:rPr>
            </w:pPr>
          </w:p>
        </w:tc>
      </w:tr>
      <w:tr w14:paraId="57D19B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109DFA31">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8</w:t>
            </w:r>
          </w:p>
        </w:tc>
        <w:tc>
          <w:tcPr>
            <w:tcW w:w="1333" w:type="dxa"/>
            <w:shd w:val="clear" w:color="auto" w:fill="auto"/>
            <w:vAlign w:val="center"/>
          </w:tcPr>
          <w:p w14:paraId="2D7693B6">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rPr>
            </w:pPr>
            <w:r>
              <w:rPr>
                <w:rFonts w:hint="eastAsia" w:ascii="仿宋" w:hAnsi="仿宋" w:eastAsia="仿宋" w:cs="仿宋"/>
                <w:kern w:val="0"/>
                <w:sz w:val="22"/>
                <w:szCs w:val="22"/>
              </w:rPr>
              <w:t>一种计算机故障报警系统及方法</w:t>
            </w:r>
          </w:p>
        </w:tc>
        <w:tc>
          <w:tcPr>
            <w:tcW w:w="4335" w:type="dxa"/>
            <w:shd w:val="clear" w:color="auto" w:fill="auto"/>
            <w:vAlign w:val="center"/>
          </w:tcPr>
          <w:p w14:paraId="225C1094">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rPr>
            </w:pPr>
            <w:r>
              <w:rPr>
                <w:rFonts w:hint="eastAsia" w:ascii="仿宋" w:hAnsi="仿宋" w:eastAsia="仿宋" w:cs="仿宋"/>
                <w:kern w:val="0"/>
                <w:sz w:val="22"/>
                <w:szCs w:val="22"/>
              </w:rPr>
              <w:t>本发明涉及计算机技术领域，具体为一种计算机故障报警系统及方法，包括行为模式分析模块、性能波动检测模块、事件关联分析模块、故障预警模块和资源调整响应模块。</w:t>
            </w:r>
          </w:p>
        </w:tc>
        <w:tc>
          <w:tcPr>
            <w:tcW w:w="2520" w:type="dxa"/>
            <w:shd w:val="clear" w:color="auto" w:fill="auto"/>
            <w:vAlign w:val="center"/>
          </w:tcPr>
          <w:p w14:paraId="5A612ECC">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rPr>
            </w:pPr>
            <w:r>
              <w:rPr>
                <w:rFonts w:hint="eastAsia" w:ascii="仿宋" w:hAnsi="仿宋" w:eastAsia="仿宋" w:cs="仿宋"/>
                <w:kern w:val="0"/>
                <w:sz w:val="22"/>
                <w:szCs w:val="22"/>
              </w:rPr>
              <w:t>黄海洋，闻娇，关宏波，马欢，胡海燕</w:t>
            </w:r>
          </w:p>
        </w:tc>
        <w:tc>
          <w:tcPr>
            <w:tcW w:w="1080" w:type="dxa"/>
            <w:shd w:val="clear" w:color="auto" w:fill="auto"/>
            <w:vAlign w:val="center"/>
          </w:tcPr>
          <w:p w14:paraId="340010B2">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rPr>
            </w:pPr>
            <w:r>
              <w:rPr>
                <w:rFonts w:hint="eastAsia" w:ascii="仿宋" w:hAnsi="仿宋" w:eastAsia="仿宋" w:cs="仿宋"/>
                <w:kern w:val="0"/>
                <w:sz w:val="22"/>
                <w:szCs w:val="22"/>
              </w:rPr>
              <w:t>长期使用权（10年）</w:t>
            </w:r>
          </w:p>
        </w:tc>
        <w:tc>
          <w:tcPr>
            <w:tcW w:w="750" w:type="dxa"/>
            <w:shd w:val="clear" w:color="auto" w:fill="auto"/>
            <w:vAlign w:val="center"/>
          </w:tcPr>
          <w:p w14:paraId="03D3A3F7">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rPr>
            </w:pPr>
            <w:r>
              <w:rPr>
                <w:rFonts w:hint="eastAsia" w:ascii="仿宋" w:hAnsi="仿宋" w:eastAsia="仿宋" w:cs="仿宋"/>
                <w:kern w:val="0"/>
                <w:sz w:val="22"/>
                <w:szCs w:val="22"/>
              </w:rPr>
              <w:t>技术许可</w:t>
            </w:r>
          </w:p>
        </w:tc>
        <w:tc>
          <w:tcPr>
            <w:tcW w:w="1204" w:type="dxa"/>
            <w:shd w:val="clear" w:color="auto" w:fill="auto"/>
            <w:vAlign w:val="center"/>
          </w:tcPr>
          <w:p w14:paraId="53D6D4E4">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rPr>
            </w:pPr>
            <w:r>
              <w:rPr>
                <w:rFonts w:hint="eastAsia" w:ascii="仿宋" w:hAnsi="仿宋" w:eastAsia="仿宋" w:cs="仿宋"/>
                <w:kern w:val="0"/>
                <w:sz w:val="22"/>
                <w:szCs w:val="22"/>
              </w:rPr>
              <w:t>30</w:t>
            </w:r>
          </w:p>
        </w:tc>
        <w:tc>
          <w:tcPr>
            <w:tcW w:w="1285" w:type="dxa"/>
            <w:shd w:val="clear" w:color="auto" w:fill="auto"/>
            <w:vAlign w:val="center"/>
          </w:tcPr>
          <w:p w14:paraId="4DD74038">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rPr>
            </w:pPr>
            <w:r>
              <w:rPr>
                <w:rFonts w:hint="eastAsia" w:ascii="仿宋" w:hAnsi="仿宋" w:eastAsia="仿宋" w:cs="仿宋"/>
                <w:kern w:val="0"/>
                <w:sz w:val="22"/>
                <w:szCs w:val="22"/>
              </w:rPr>
              <w:t>郑州优盾企业管理咨询有限公司</w:t>
            </w:r>
          </w:p>
        </w:tc>
        <w:tc>
          <w:tcPr>
            <w:tcW w:w="786" w:type="dxa"/>
            <w:shd w:val="clear" w:color="auto" w:fill="auto"/>
            <w:vAlign w:val="center"/>
          </w:tcPr>
          <w:p w14:paraId="5A127F45">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rPr>
            </w:pPr>
          </w:p>
        </w:tc>
      </w:tr>
      <w:tr w14:paraId="18F0E8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544" w:type="dxa"/>
            <w:vAlign w:val="center"/>
          </w:tcPr>
          <w:p w14:paraId="4F29F5AC">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9</w:t>
            </w:r>
          </w:p>
        </w:tc>
        <w:tc>
          <w:tcPr>
            <w:tcW w:w="1333" w:type="dxa"/>
            <w:shd w:val="clear" w:color="auto" w:fill="auto"/>
            <w:vAlign w:val="center"/>
          </w:tcPr>
          <w:p w14:paraId="6A32CA6C">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rPr>
            </w:pPr>
            <w:r>
              <w:rPr>
                <w:rFonts w:hint="eastAsia" w:ascii="仿宋" w:hAnsi="仿宋" w:eastAsia="仿宋" w:cs="仿宋"/>
                <w:kern w:val="0"/>
                <w:sz w:val="22"/>
                <w:szCs w:val="22"/>
              </w:rPr>
              <w:t>基于知识驱动的功能变更传播路径和工作量预测方法</w:t>
            </w:r>
            <w:r>
              <w:rPr>
                <w:rFonts w:hint="eastAsia" w:ascii="仿宋" w:hAnsi="仿宋" w:eastAsia="仿宋" w:cs="仿宋"/>
                <w:kern w:val="0"/>
                <w:sz w:val="22"/>
                <w:szCs w:val="22"/>
                <w:lang w:val="en-US" w:eastAsia="zh-CN"/>
              </w:rPr>
              <w:t xml:space="preserve"> </w:t>
            </w:r>
          </w:p>
        </w:tc>
        <w:tc>
          <w:tcPr>
            <w:tcW w:w="4335" w:type="dxa"/>
            <w:shd w:val="clear" w:color="auto" w:fill="auto"/>
            <w:vAlign w:val="center"/>
          </w:tcPr>
          <w:p w14:paraId="4FB66A16">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rPr>
            </w:pPr>
            <w:r>
              <w:rPr>
                <w:rFonts w:hint="eastAsia" w:ascii="仿宋" w:hAnsi="仿宋" w:eastAsia="仿宋" w:cs="仿宋"/>
                <w:kern w:val="0"/>
                <w:sz w:val="22"/>
                <w:szCs w:val="22"/>
              </w:rPr>
              <w:t>本发明从功能和知识的角度出发，建立功能变更传播预测模型</w:t>
            </w:r>
            <w:r>
              <w:rPr>
                <w:rFonts w:hint="eastAsia" w:ascii="仿宋" w:hAnsi="仿宋" w:eastAsia="仿宋" w:cs="仿宋"/>
                <w:kern w:val="0"/>
                <w:sz w:val="22"/>
                <w:szCs w:val="22"/>
                <w:lang w:eastAsia="zh-CN"/>
              </w:rPr>
              <w:t>，</w:t>
            </w:r>
            <w:r>
              <w:rPr>
                <w:rFonts w:hint="eastAsia" w:ascii="仿宋" w:hAnsi="仿宋" w:eastAsia="仿宋" w:cs="仿宋"/>
                <w:kern w:val="0"/>
                <w:sz w:val="22"/>
                <w:szCs w:val="22"/>
              </w:rPr>
              <w:t>再确定变更传播路径并计算传播可能性，</w:t>
            </w:r>
            <w:r>
              <w:rPr>
                <w:rFonts w:hint="eastAsia" w:ascii="仿宋" w:hAnsi="仿宋" w:eastAsia="仿宋" w:cs="仿宋"/>
                <w:kern w:val="0"/>
                <w:sz w:val="22"/>
                <w:szCs w:val="22"/>
                <w:lang w:val="en-US" w:eastAsia="zh-CN"/>
              </w:rPr>
              <w:t>然后</w:t>
            </w:r>
            <w:r>
              <w:rPr>
                <w:rFonts w:hint="eastAsia" w:ascii="仿宋" w:hAnsi="仿宋" w:eastAsia="仿宋" w:cs="仿宋"/>
                <w:kern w:val="0"/>
                <w:sz w:val="22"/>
                <w:szCs w:val="22"/>
              </w:rPr>
              <w:t>计算功能变更传播带来的额外工作量，从而帮助工程师改善现有的研发计划，保证研发进度。</w:t>
            </w:r>
          </w:p>
        </w:tc>
        <w:tc>
          <w:tcPr>
            <w:tcW w:w="2520" w:type="dxa"/>
            <w:shd w:val="clear" w:color="auto" w:fill="auto"/>
            <w:vAlign w:val="center"/>
          </w:tcPr>
          <w:p w14:paraId="0862B390">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王昊琪，文笑雨，李浩，孙春亚，李晓科，乔东平，罗国富</w:t>
            </w:r>
          </w:p>
        </w:tc>
        <w:tc>
          <w:tcPr>
            <w:tcW w:w="1080" w:type="dxa"/>
            <w:shd w:val="clear" w:color="auto" w:fill="auto"/>
            <w:vAlign w:val="center"/>
          </w:tcPr>
          <w:p w14:paraId="13A2F065">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rPr>
            </w:pPr>
            <w:r>
              <w:rPr>
                <w:rFonts w:hint="eastAsia" w:ascii="仿宋" w:hAnsi="仿宋" w:eastAsia="仿宋" w:cs="仿宋"/>
                <w:kern w:val="0"/>
                <w:sz w:val="22"/>
                <w:szCs w:val="22"/>
              </w:rPr>
              <w:t>长期使用权（10年）</w:t>
            </w:r>
          </w:p>
        </w:tc>
        <w:tc>
          <w:tcPr>
            <w:tcW w:w="750" w:type="dxa"/>
            <w:shd w:val="clear" w:color="auto" w:fill="auto"/>
            <w:vAlign w:val="center"/>
          </w:tcPr>
          <w:p w14:paraId="374BD67B">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rPr>
            </w:pPr>
            <w:r>
              <w:rPr>
                <w:rFonts w:hint="eastAsia" w:ascii="仿宋" w:hAnsi="仿宋" w:eastAsia="仿宋" w:cs="仿宋"/>
                <w:kern w:val="0"/>
                <w:sz w:val="22"/>
                <w:szCs w:val="22"/>
              </w:rPr>
              <w:t>技术许可</w:t>
            </w:r>
          </w:p>
        </w:tc>
        <w:tc>
          <w:tcPr>
            <w:tcW w:w="1204" w:type="dxa"/>
            <w:shd w:val="clear" w:color="auto" w:fill="auto"/>
            <w:vAlign w:val="center"/>
          </w:tcPr>
          <w:p w14:paraId="6A345FB0">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3.4</w:t>
            </w:r>
            <w:r>
              <w:rPr>
                <w:rFonts w:hint="eastAsia" w:ascii="仿宋" w:hAnsi="仿宋" w:eastAsia="仿宋" w:cs="仿宋"/>
                <w:kern w:val="0"/>
                <w:sz w:val="22"/>
                <w:szCs w:val="22"/>
              </w:rPr>
              <w:t>万元</w:t>
            </w:r>
          </w:p>
        </w:tc>
        <w:tc>
          <w:tcPr>
            <w:tcW w:w="1285" w:type="dxa"/>
            <w:shd w:val="clear" w:color="auto" w:fill="auto"/>
            <w:vAlign w:val="center"/>
          </w:tcPr>
          <w:p w14:paraId="218B880A">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rPr>
            </w:pPr>
            <w:r>
              <w:rPr>
                <w:rFonts w:hint="eastAsia" w:ascii="仿宋" w:hAnsi="仿宋" w:eastAsia="仿宋" w:cs="仿宋"/>
                <w:kern w:val="0"/>
                <w:sz w:val="22"/>
                <w:szCs w:val="22"/>
              </w:rPr>
              <w:t>天津市智图工程技术有限公司</w:t>
            </w:r>
          </w:p>
        </w:tc>
        <w:tc>
          <w:tcPr>
            <w:tcW w:w="786" w:type="dxa"/>
            <w:vAlign w:val="center"/>
          </w:tcPr>
          <w:p w14:paraId="4BCF9452">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r>
      <w:tr w14:paraId="164C56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7DA9975A">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default"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10</w:t>
            </w:r>
          </w:p>
        </w:tc>
        <w:tc>
          <w:tcPr>
            <w:tcW w:w="1333" w:type="dxa"/>
            <w:shd w:val="clear" w:color="auto" w:fill="auto"/>
            <w:vAlign w:val="center"/>
          </w:tcPr>
          <w:p w14:paraId="0CA57A21">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bidi="ar-SA"/>
              </w:rPr>
            </w:pPr>
            <w:r>
              <w:rPr>
                <w:rFonts w:hint="eastAsia" w:ascii="仿宋" w:hAnsi="仿宋" w:eastAsia="仿宋" w:cs="仿宋"/>
                <w:kern w:val="0"/>
                <w:sz w:val="22"/>
                <w:szCs w:val="22"/>
              </w:rPr>
              <w:t>数字孪生环境下的生产线不确定对象智能识别与预警方法</w:t>
            </w:r>
          </w:p>
        </w:tc>
        <w:tc>
          <w:tcPr>
            <w:tcW w:w="4335" w:type="dxa"/>
            <w:shd w:val="clear" w:color="auto" w:fill="auto"/>
            <w:vAlign w:val="center"/>
          </w:tcPr>
          <w:p w14:paraId="776FF0A1">
            <w:pPr>
              <w:keepNext w:val="0"/>
              <w:keepLines w:val="0"/>
              <w:pageBreakBefore w:val="0"/>
              <w:widowControl/>
              <w:kinsoku/>
              <w:wordWrap/>
              <w:overflowPunct/>
              <w:topLinePunct w:val="0"/>
              <w:autoSpaceDE/>
              <w:autoSpaceDN/>
              <w:bidi w:val="0"/>
              <w:adjustRightInd/>
              <w:snapToGrid/>
              <w:spacing w:line="640" w:lineRule="exact"/>
              <w:jc w:val="both"/>
              <w:textAlignment w:val="center"/>
              <w:rPr>
                <w:rFonts w:hint="eastAsia" w:ascii="仿宋" w:hAnsi="仿宋" w:eastAsia="仿宋" w:cs="仿宋"/>
                <w:kern w:val="0"/>
                <w:sz w:val="22"/>
                <w:szCs w:val="22"/>
                <w:lang w:val="en-US" w:eastAsia="zh-CN" w:bidi="ar-SA"/>
              </w:rPr>
            </w:pPr>
            <w:r>
              <w:rPr>
                <w:rFonts w:hint="eastAsia" w:ascii="仿宋" w:hAnsi="仿宋" w:eastAsia="仿宋" w:cs="仿宋"/>
                <w:kern w:val="0"/>
                <w:sz w:val="22"/>
                <w:szCs w:val="22"/>
              </w:rPr>
              <w:t>本发明能够通过深度学习算法判断非生产线系统的不确定物理对象类型、检测其位置和大小，及时进行预警，保证安全生产；当判断该对象类型属于安全对象时，能够</w:t>
            </w:r>
            <w:r>
              <w:rPr>
                <w:rFonts w:hint="eastAsia" w:ascii="仿宋" w:hAnsi="仿宋" w:eastAsia="仿宋" w:cs="仿宋"/>
                <w:kern w:val="0"/>
                <w:sz w:val="22"/>
                <w:szCs w:val="22"/>
                <w:lang w:val="en-US" w:eastAsia="zh-CN"/>
              </w:rPr>
              <w:t>在</w:t>
            </w:r>
            <w:r>
              <w:rPr>
                <w:rFonts w:hint="eastAsia" w:ascii="仿宋" w:hAnsi="仿宋" w:eastAsia="仿宋" w:cs="仿宋"/>
                <w:kern w:val="0"/>
                <w:sz w:val="22"/>
                <w:szCs w:val="22"/>
              </w:rPr>
              <w:t>虚拟生产线中加载，保证</w:t>
            </w:r>
            <w:r>
              <w:rPr>
                <w:rFonts w:hint="eastAsia" w:ascii="仿宋" w:hAnsi="仿宋" w:eastAsia="仿宋" w:cs="仿宋"/>
                <w:kern w:val="0"/>
                <w:sz w:val="22"/>
                <w:szCs w:val="22"/>
                <w:lang w:val="en-US" w:eastAsia="zh-CN"/>
              </w:rPr>
              <w:t>虚实一致</w:t>
            </w:r>
            <w:r>
              <w:rPr>
                <w:rFonts w:hint="eastAsia" w:ascii="仿宋" w:hAnsi="仿宋" w:eastAsia="仿宋" w:cs="仿宋"/>
                <w:kern w:val="0"/>
                <w:sz w:val="22"/>
                <w:szCs w:val="22"/>
              </w:rPr>
              <w:t>。</w:t>
            </w:r>
          </w:p>
        </w:tc>
        <w:tc>
          <w:tcPr>
            <w:tcW w:w="2520" w:type="dxa"/>
            <w:shd w:val="clear" w:color="auto" w:fill="auto"/>
            <w:vAlign w:val="center"/>
          </w:tcPr>
          <w:p w14:paraId="7F9A96BB">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bidi="ar-SA"/>
              </w:rPr>
            </w:pPr>
            <w:r>
              <w:rPr>
                <w:rFonts w:hint="eastAsia" w:ascii="仿宋" w:hAnsi="仿宋" w:eastAsia="仿宋" w:cs="仿宋"/>
                <w:kern w:val="0"/>
                <w:sz w:val="22"/>
                <w:szCs w:val="22"/>
                <w:lang w:val="en-US" w:eastAsia="zh-CN"/>
              </w:rPr>
              <w:t>王昊琪，李浩，黄荣杰，刘根，杜鸿钰，李兵，文笑雨，张玉彦，孙春亚</w:t>
            </w:r>
          </w:p>
        </w:tc>
        <w:tc>
          <w:tcPr>
            <w:tcW w:w="1080" w:type="dxa"/>
            <w:shd w:val="clear" w:color="auto" w:fill="auto"/>
            <w:vAlign w:val="center"/>
          </w:tcPr>
          <w:p w14:paraId="5FB33A8D">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bidi="ar-SA"/>
              </w:rPr>
            </w:pPr>
            <w:r>
              <w:rPr>
                <w:rFonts w:hint="eastAsia" w:ascii="仿宋" w:hAnsi="仿宋" w:eastAsia="仿宋" w:cs="仿宋"/>
                <w:kern w:val="0"/>
                <w:sz w:val="22"/>
                <w:szCs w:val="22"/>
              </w:rPr>
              <w:t>长期使用权（10年）</w:t>
            </w:r>
          </w:p>
        </w:tc>
        <w:tc>
          <w:tcPr>
            <w:tcW w:w="750" w:type="dxa"/>
            <w:shd w:val="clear" w:color="auto" w:fill="auto"/>
            <w:vAlign w:val="center"/>
          </w:tcPr>
          <w:p w14:paraId="1DB203D1">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bidi="ar-SA"/>
              </w:rPr>
            </w:pPr>
            <w:r>
              <w:rPr>
                <w:rFonts w:hint="eastAsia" w:ascii="仿宋" w:hAnsi="仿宋" w:eastAsia="仿宋" w:cs="仿宋"/>
                <w:kern w:val="0"/>
                <w:sz w:val="22"/>
                <w:szCs w:val="22"/>
              </w:rPr>
              <w:t>技术许可</w:t>
            </w:r>
          </w:p>
        </w:tc>
        <w:tc>
          <w:tcPr>
            <w:tcW w:w="1204" w:type="dxa"/>
            <w:shd w:val="clear" w:color="auto" w:fill="auto"/>
            <w:vAlign w:val="center"/>
          </w:tcPr>
          <w:p w14:paraId="7901A357">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bidi="ar-SA"/>
              </w:rPr>
            </w:pPr>
            <w:r>
              <w:rPr>
                <w:rFonts w:hint="eastAsia" w:ascii="仿宋" w:hAnsi="仿宋" w:eastAsia="仿宋" w:cs="仿宋"/>
                <w:kern w:val="0"/>
                <w:sz w:val="22"/>
                <w:szCs w:val="22"/>
                <w:lang w:val="en-US" w:eastAsia="zh-CN"/>
              </w:rPr>
              <w:t>3.3</w:t>
            </w:r>
          </w:p>
        </w:tc>
        <w:tc>
          <w:tcPr>
            <w:tcW w:w="1285" w:type="dxa"/>
            <w:shd w:val="clear" w:color="auto" w:fill="auto"/>
            <w:vAlign w:val="center"/>
          </w:tcPr>
          <w:p w14:paraId="474F2F73">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bidi="ar-SA"/>
              </w:rPr>
            </w:pPr>
            <w:r>
              <w:rPr>
                <w:rFonts w:hint="eastAsia" w:ascii="仿宋" w:hAnsi="仿宋" w:eastAsia="仿宋" w:cs="仿宋"/>
                <w:kern w:val="0"/>
                <w:sz w:val="22"/>
                <w:szCs w:val="22"/>
              </w:rPr>
              <w:t>天津市智图工程技术有限公司</w:t>
            </w:r>
          </w:p>
        </w:tc>
        <w:tc>
          <w:tcPr>
            <w:tcW w:w="786" w:type="dxa"/>
            <w:vAlign w:val="center"/>
          </w:tcPr>
          <w:p w14:paraId="0C996070">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r>
      <w:tr w14:paraId="3F967C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036C5547">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default"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11</w:t>
            </w:r>
          </w:p>
        </w:tc>
        <w:tc>
          <w:tcPr>
            <w:tcW w:w="1333" w:type="dxa"/>
            <w:shd w:val="clear" w:color="auto" w:fill="auto"/>
            <w:vAlign w:val="center"/>
          </w:tcPr>
          <w:p w14:paraId="7CBDB1C9">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bidi="ar-SA"/>
              </w:rPr>
            </w:pPr>
            <w:r>
              <w:rPr>
                <w:rFonts w:hint="eastAsia" w:ascii="仿宋" w:hAnsi="仿宋" w:eastAsia="仿宋" w:cs="仿宋"/>
                <w:kern w:val="0"/>
                <w:sz w:val="22"/>
                <w:szCs w:val="22"/>
              </w:rPr>
              <w:t>一种人机环境动静融合的数字孪生车间快速建模方法</w:t>
            </w:r>
          </w:p>
        </w:tc>
        <w:tc>
          <w:tcPr>
            <w:tcW w:w="4335" w:type="dxa"/>
            <w:shd w:val="clear" w:color="auto" w:fill="auto"/>
            <w:vAlign w:val="center"/>
          </w:tcPr>
          <w:p w14:paraId="75330215">
            <w:pPr>
              <w:keepNext w:val="0"/>
              <w:keepLines w:val="0"/>
              <w:pageBreakBefore w:val="0"/>
              <w:widowControl/>
              <w:kinsoku/>
              <w:wordWrap/>
              <w:overflowPunct/>
              <w:topLinePunct w:val="0"/>
              <w:autoSpaceDE/>
              <w:autoSpaceDN/>
              <w:bidi w:val="0"/>
              <w:adjustRightInd/>
              <w:snapToGrid/>
              <w:spacing w:line="640" w:lineRule="exact"/>
              <w:jc w:val="both"/>
              <w:textAlignment w:val="center"/>
              <w:rPr>
                <w:rFonts w:hint="eastAsia" w:ascii="仿宋" w:hAnsi="仿宋" w:eastAsia="仿宋" w:cs="仿宋"/>
                <w:kern w:val="0"/>
                <w:sz w:val="22"/>
                <w:szCs w:val="22"/>
                <w:lang w:val="en-US" w:eastAsia="zh-CN" w:bidi="ar-SA"/>
              </w:rPr>
            </w:pPr>
            <w:r>
              <w:rPr>
                <w:rFonts w:hint="eastAsia" w:ascii="仿宋" w:hAnsi="仿宋" w:eastAsia="仿宋" w:cs="仿宋"/>
                <w:kern w:val="0"/>
                <w:sz w:val="22"/>
                <w:szCs w:val="22"/>
                <w:lang w:val="en-US" w:eastAsia="zh-CN"/>
              </w:rPr>
              <w:t>本发明利用数字孪生技术，提出了一种人机环境动静融合的数字孪生车间快速建模方法，对“人-机-环境”共融的制造车间进行快速的静态和动态重构，并对动静融合性进行定量评估，为制造车间实时状态的精准刻画提供有效方法。</w:t>
            </w:r>
          </w:p>
        </w:tc>
        <w:tc>
          <w:tcPr>
            <w:tcW w:w="2520" w:type="dxa"/>
            <w:shd w:val="clear" w:color="auto" w:fill="auto"/>
            <w:vAlign w:val="center"/>
          </w:tcPr>
          <w:p w14:paraId="7AB13AAA">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bidi="ar-SA"/>
              </w:rPr>
            </w:pPr>
            <w:r>
              <w:rPr>
                <w:rFonts w:hint="eastAsia" w:ascii="仿宋" w:hAnsi="仿宋" w:eastAsia="仿宋" w:cs="仿宋"/>
                <w:kern w:val="0"/>
                <w:sz w:val="22"/>
                <w:szCs w:val="22"/>
                <w:lang w:val="en-US" w:eastAsia="zh-CN"/>
              </w:rPr>
              <w:t>王昊琪，李旭鹏，陈高威，李浩，魏世忠，文笑雨，刘根，张玉彦，孙春亚，杨文超，乔东平，张丽科</w:t>
            </w:r>
          </w:p>
        </w:tc>
        <w:tc>
          <w:tcPr>
            <w:tcW w:w="1080" w:type="dxa"/>
            <w:shd w:val="clear" w:color="auto" w:fill="auto"/>
            <w:vAlign w:val="center"/>
          </w:tcPr>
          <w:p w14:paraId="270753E7">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bidi="ar-SA"/>
              </w:rPr>
            </w:pPr>
            <w:r>
              <w:rPr>
                <w:rFonts w:hint="eastAsia" w:ascii="仿宋" w:hAnsi="仿宋" w:eastAsia="仿宋" w:cs="仿宋"/>
                <w:kern w:val="0"/>
                <w:sz w:val="22"/>
                <w:szCs w:val="22"/>
              </w:rPr>
              <w:t>长期使用权（10年）</w:t>
            </w:r>
          </w:p>
        </w:tc>
        <w:tc>
          <w:tcPr>
            <w:tcW w:w="750" w:type="dxa"/>
            <w:shd w:val="clear" w:color="auto" w:fill="auto"/>
            <w:vAlign w:val="center"/>
          </w:tcPr>
          <w:p w14:paraId="0BB1F52A">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bidi="ar-SA"/>
              </w:rPr>
            </w:pPr>
            <w:r>
              <w:rPr>
                <w:rFonts w:hint="eastAsia" w:ascii="仿宋" w:hAnsi="仿宋" w:eastAsia="仿宋" w:cs="仿宋"/>
                <w:kern w:val="0"/>
                <w:sz w:val="22"/>
                <w:szCs w:val="22"/>
              </w:rPr>
              <w:t>技术许可</w:t>
            </w:r>
          </w:p>
        </w:tc>
        <w:tc>
          <w:tcPr>
            <w:tcW w:w="1204" w:type="dxa"/>
            <w:shd w:val="clear" w:color="auto" w:fill="auto"/>
            <w:vAlign w:val="center"/>
          </w:tcPr>
          <w:p w14:paraId="78F54A0A">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bidi="ar-SA"/>
              </w:rPr>
            </w:pPr>
            <w:r>
              <w:rPr>
                <w:rFonts w:hint="eastAsia" w:ascii="仿宋" w:hAnsi="仿宋" w:eastAsia="仿宋" w:cs="仿宋"/>
                <w:kern w:val="0"/>
                <w:sz w:val="22"/>
                <w:szCs w:val="22"/>
                <w:lang w:val="en-US" w:eastAsia="zh-CN"/>
              </w:rPr>
              <w:t>3.3</w:t>
            </w:r>
          </w:p>
        </w:tc>
        <w:tc>
          <w:tcPr>
            <w:tcW w:w="1285" w:type="dxa"/>
            <w:shd w:val="clear" w:color="auto" w:fill="auto"/>
            <w:vAlign w:val="center"/>
          </w:tcPr>
          <w:p w14:paraId="0965F865">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bidi="ar-SA"/>
              </w:rPr>
            </w:pPr>
            <w:r>
              <w:rPr>
                <w:rFonts w:hint="eastAsia" w:ascii="仿宋" w:hAnsi="仿宋" w:eastAsia="仿宋" w:cs="仿宋"/>
                <w:kern w:val="0"/>
                <w:sz w:val="22"/>
                <w:szCs w:val="22"/>
              </w:rPr>
              <w:t>天津市智图工程技术有限公司</w:t>
            </w:r>
          </w:p>
        </w:tc>
        <w:tc>
          <w:tcPr>
            <w:tcW w:w="786" w:type="dxa"/>
            <w:vAlign w:val="center"/>
          </w:tcPr>
          <w:p w14:paraId="43FB43E0">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r>
      <w:tr w14:paraId="6E1000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18CD20B7">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default"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12</w:t>
            </w:r>
          </w:p>
        </w:tc>
        <w:tc>
          <w:tcPr>
            <w:tcW w:w="1333" w:type="dxa"/>
            <w:shd w:val="clear" w:color="auto" w:fill="auto"/>
            <w:vAlign w:val="center"/>
          </w:tcPr>
          <w:p w14:paraId="5E14FCF5">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z w:val="22"/>
                <w:szCs w:val="22"/>
              </w:rPr>
              <w:t>一种节能型热泵干燥系统及其控制方法</w:t>
            </w:r>
          </w:p>
        </w:tc>
        <w:tc>
          <w:tcPr>
            <w:tcW w:w="4335" w:type="dxa"/>
            <w:shd w:val="clear" w:color="auto" w:fill="auto"/>
            <w:vAlign w:val="center"/>
          </w:tcPr>
          <w:p w14:paraId="3C804CDE">
            <w:pPr>
              <w:keepNext w:val="0"/>
              <w:keepLines w:val="0"/>
              <w:pageBreakBefore w:val="0"/>
              <w:widowControl/>
              <w:kinsoku/>
              <w:wordWrap/>
              <w:overflowPunct/>
              <w:topLinePunct w:val="0"/>
              <w:autoSpaceDE/>
              <w:autoSpaceDN/>
              <w:bidi w:val="0"/>
              <w:adjustRightInd/>
              <w:snapToGrid/>
              <w:spacing w:before="78" w:line="640" w:lineRule="exact"/>
              <w:ind w:firstLine="424" w:firstLineChars="200"/>
              <w:jc w:val="left"/>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本发明有效地解决热泵干燥中后期热量在系统的积聚，热量不能有效利用，而被排出系统造成浪费的问题，可以有效的提高热泵干燥过程中能量的利用率，减少能量损失，可以提高系统的除湿量和除湿率；降低了压缩机的使用功率，并且使得和压缩机相匹配部件的尺寸也都相应减小；通过相变蓄热换热器内高导热柔性相变材料的吸热、放热和间断性地调节压缩机负载，可以达到既能连续干燥，又可以节能的目的，具有巨大的经济效益和社会效益。</w:t>
            </w:r>
          </w:p>
        </w:tc>
        <w:tc>
          <w:tcPr>
            <w:tcW w:w="2520" w:type="dxa"/>
            <w:shd w:val="clear" w:color="auto" w:fill="auto"/>
            <w:vAlign w:val="center"/>
          </w:tcPr>
          <w:p w14:paraId="14421816">
            <w:pPr>
              <w:keepNext w:val="0"/>
              <w:keepLines w:val="0"/>
              <w:pageBreakBefore w:val="0"/>
              <w:widowControl/>
              <w:kinsoku/>
              <w:wordWrap/>
              <w:overflowPunct/>
              <w:topLinePunct w:val="0"/>
              <w:autoSpaceDE/>
              <w:autoSpaceDN/>
              <w:bidi w:val="0"/>
              <w:adjustRightInd/>
              <w:snapToGrid/>
              <w:spacing w:line="640" w:lineRule="exact"/>
              <w:jc w:val="left"/>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彭钰航、金听祥、朱世权、王广红、杜帅华、李冠绩、马瑜聪</w:t>
            </w:r>
          </w:p>
        </w:tc>
        <w:tc>
          <w:tcPr>
            <w:tcW w:w="1080" w:type="dxa"/>
            <w:shd w:val="clear" w:color="auto" w:fill="auto"/>
            <w:vAlign w:val="center"/>
          </w:tcPr>
          <w:p w14:paraId="68C60314">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spacing w:val="-4"/>
                <w:kern w:val="0"/>
                <w:sz w:val="22"/>
                <w:szCs w:val="22"/>
              </w:rPr>
              <w:t>长期使用权（10年）</w:t>
            </w:r>
          </w:p>
        </w:tc>
        <w:tc>
          <w:tcPr>
            <w:tcW w:w="750" w:type="dxa"/>
            <w:shd w:val="clear" w:color="auto" w:fill="auto"/>
            <w:vAlign w:val="center"/>
          </w:tcPr>
          <w:p w14:paraId="1DAC7BAC">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kern w:val="2"/>
                <w:sz w:val="22"/>
                <w:szCs w:val="22"/>
                <w:lang w:val="en-US" w:eastAsia="zh-CN" w:bidi="ar-SA"/>
              </w:rPr>
            </w:pPr>
            <w:r>
              <w:rPr>
                <w:rFonts w:hint="eastAsia" w:ascii="仿宋" w:hAnsi="仿宋" w:eastAsia="仿宋" w:cs="仿宋"/>
                <w:sz w:val="22"/>
                <w:szCs w:val="22"/>
              </w:rPr>
              <w:t>技术许可</w:t>
            </w:r>
          </w:p>
        </w:tc>
        <w:tc>
          <w:tcPr>
            <w:tcW w:w="1204" w:type="dxa"/>
            <w:shd w:val="clear" w:color="auto" w:fill="auto"/>
            <w:vAlign w:val="center"/>
          </w:tcPr>
          <w:p w14:paraId="7A03606C">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kern w:val="2"/>
                <w:sz w:val="22"/>
                <w:szCs w:val="22"/>
                <w:lang w:val="en-US" w:eastAsia="zh-CN" w:bidi="ar-SA"/>
              </w:rPr>
            </w:pPr>
            <w:r>
              <w:rPr>
                <w:rFonts w:hint="eastAsia" w:ascii="仿宋" w:hAnsi="仿宋" w:eastAsia="仿宋" w:cs="仿宋"/>
                <w:sz w:val="22"/>
                <w:szCs w:val="22"/>
              </w:rPr>
              <w:t>3</w:t>
            </w:r>
            <w:r>
              <w:rPr>
                <w:rFonts w:ascii="仿宋" w:hAnsi="仿宋" w:eastAsia="仿宋" w:cs="仿宋"/>
                <w:sz w:val="22"/>
                <w:szCs w:val="22"/>
              </w:rPr>
              <w:t>.1</w:t>
            </w:r>
          </w:p>
        </w:tc>
        <w:tc>
          <w:tcPr>
            <w:tcW w:w="1285" w:type="dxa"/>
            <w:shd w:val="clear" w:color="auto" w:fill="auto"/>
            <w:vAlign w:val="center"/>
          </w:tcPr>
          <w:p w14:paraId="1F95EE3D">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snapToGrid w:val="0"/>
                <w:color w:val="000000"/>
                <w:spacing w:val="-3"/>
                <w:kern w:val="0"/>
                <w:sz w:val="22"/>
                <w:szCs w:val="22"/>
                <w:lang w:val="en-US" w:eastAsia="zh-CN" w:bidi="ar-SA"/>
              </w:rPr>
            </w:pPr>
            <w:r>
              <w:rPr>
                <w:rFonts w:hint="eastAsia" w:ascii="Times New Roman" w:hAnsi="Times New Roman"/>
                <w:sz w:val="22"/>
                <w:szCs w:val="22"/>
              </w:rPr>
              <w:t>郑州美天机械设备有限公司</w:t>
            </w:r>
          </w:p>
        </w:tc>
        <w:tc>
          <w:tcPr>
            <w:tcW w:w="786" w:type="dxa"/>
            <w:vAlign w:val="center"/>
          </w:tcPr>
          <w:p w14:paraId="52BC9FB3">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r>
      <w:tr w14:paraId="2A20D6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094FB89A">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default"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13</w:t>
            </w:r>
          </w:p>
        </w:tc>
        <w:tc>
          <w:tcPr>
            <w:tcW w:w="1333" w:type="dxa"/>
            <w:shd w:val="clear" w:color="auto" w:fill="auto"/>
            <w:vAlign w:val="center"/>
          </w:tcPr>
          <w:p w14:paraId="7AB8BAF2">
            <w:pPr>
              <w:keepNext w:val="0"/>
              <w:keepLines w:val="0"/>
              <w:pageBreakBefore w:val="0"/>
              <w:widowControl/>
              <w:kinsoku/>
              <w:wordWrap/>
              <w:overflowPunct/>
              <w:topLinePunct w:val="0"/>
              <w:autoSpaceDE/>
              <w:autoSpaceDN/>
              <w:bidi w:val="0"/>
              <w:adjustRightInd/>
              <w:snapToGrid/>
              <w:spacing w:line="640" w:lineRule="exact"/>
              <w:jc w:val="left"/>
              <w:rPr>
                <w:rFonts w:ascii="Times New Roman" w:hAnsi="Times New Roman"/>
                <w:sz w:val="22"/>
                <w:szCs w:val="22"/>
              </w:rPr>
            </w:pPr>
            <w:r>
              <w:rPr>
                <w:rFonts w:hint="eastAsia" w:ascii="Times New Roman" w:hAnsi="Times New Roman"/>
                <w:sz w:val="22"/>
                <w:szCs w:val="22"/>
              </w:rPr>
              <w:t>一种全疏水共晶凝胶及其制备方法和应用</w:t>
            </w:r>
          </w:p>
          <w:p w14:paraId="1BE54B1F">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snapToGrid w:val="0"/>
                <w:color w:val="000000"/>
                <w:spacing w:val="-4"/>
                <w:kern w:val="0"/>
                <w:sz w:val="22"/>
                <w:szCs w:val="22"/>
                <w:lang w:val="en-US" w:eastAsia="zh-CN" w:bidi="ar-SA"/>
              </w:rPr>
            </w:pPr>
          </w:p>
        </w:tc>
        <w:tc>
          <w:tcPr>
            <w:tcW w:w="4335" w:type="dxa"/>
            <w:shd w:val="clear" w:color="auto" w:fill="auto"/>
            <w:vAlign w:val="center"/>
          </w:tcPr>
          <w:p w14:paraId="17533B40">
            <w:pPr>
              <w:keepNext w:val="0"/>
              <w:keepLines w:val="0"/>
              <w:pageBreakBefore w:val="0"/>
              <w:widowControl/>
              <w:kinsoku/>
              <w:wordWrap/>
              <w:overflowPunct/>
              <w:topLinePunct w:val="0"/>
              <w:autoSpaceDE/>
              <w:autoSpaceDN/>
              <w:bidi w:val="0"/>
              <w:adjustRightInd/>
              <w:snapToGrid/>
              <w:spacing w:before="78" w:line="640" w:lineRule="exact"/>
              <w:jc w:val="left"/>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本发明提出了一种全疏水共晶凝胶的制备方法：制备兼具高离子电导率和可聚合的疏水性共晶溶剂；将交联剂、引发剂、疏水性共晶溶剂混合均匀后，进行聚合反应，得到所述全疏水共晶凝胶。本发明提供的全疏水共晶凝胶，在高湿度环境下具有良好的湿度阻抗效果，使其在不同湿度环境中具有很好的离子电导率稳定性，因此基于全疏水共晶凝胶的柔性应变传感器在不同湿度环境中具有很好的传感稳定性和实用性。</w:t>
            </w:r>
          </w:p>
        </w:tc>
        <w:tc>
          <w:tcPr>
            <w:tcW w:w="2520" w:type="dxa"/>
            <w:shd w:val="clear" w:color="auto" w:fill="auto"/>
            <w:vAlign w:val="center"/>
          </w:tcPr>
          <w:p w14:paraId="762F32AD">
            <w:pPr>
              <w:keepNext w:val="0"/>
              <w:keepLines w:val="0"/>
              <w:pageBreakBefore w:val="0"/>
              <w:widowControl/>
              <w:kinsoku/>
              <w:wordWrap/>
              <w:overflowPunct/>
              <w:topLinePunct w:val="0"/>
              <w:autoSpaceDE/>
              <w:autoSpaceDN/>
              <w:bidi w:val="0"/>
              <w:adjustRightInd/>
              <w:snapToGrid/>
              <w:spacing w:line="640" w:lineRule="exact"/>
              <w:jc w:val="left"/>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樊凯奇、张晓静、王晓波、魏巍、马永鹏、刘森、卫王冲、彭继伟</w:t>
            </w:r>
          </w:p>
        </w:tc>
        <w:tc>
          <w:tcPr>
            <w:tcW w:w="1080" w:type="dxa"/>
            <w:shd w:val="clear" w:color="auto" w:fill="auto"/>
            <w:vAlign w:val="center"/>
          </w:tcPr>
          <w:p w14:paraId="1AC5BF91">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长期使用权（10年）</w:t>
            </w:r>
          </w:p>
        </w:tc>
        <w:tc>
          <w:tcPr>
            <w:tcW w:w="750" w:type="dxa"/>
            <w:shd w:val="clear" w:color="auto" w:fill="auto"/>
            <w:vAlign w:val="center"/>
          </w:tcPr>
          <w:p w14:paraId="60308D38">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sz w:val="22"/>
                <w:szCs w:val="22"/>
              </w:rPr>
            </w:pPr>
            <w:r>
              <w:rPr>
                <w:rFonts w:hint="eastAsia" w:ascii="仿宋" w:hAnsi="仿宋" w:eastAsia="仿宋" w:cs="仿宋"/>
                <w:sz w:val="22"/>
                <w:szCs w:val="22"/>
              </w:rPr>
              <w:t>技术许可</w:t>
            </w:r>
          </w:p>
          <w:p w14:paraId="43D4E2BE">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kern w:val="2"/>
                <w:sz w:val="22"/>
                <w:szCs w:val="22"/>
                <w:lang w:val="en-US" w:eastAsia="zh-CN" w:bidi="ar-SA"/>
              </w:rPr>
            </w:pPr>
          </w:p>
        </w:tc>
        <w:tc>
          <w:tcPr>
            <w:tcW w:w="1204" w:type="dxa"/>
            <w:shd w:val="clear" w:color="auto" w:fill="auto"/>
            <w:vAlign w:val="center"/>
          </w:tcPr>
          <w:p w14:paraId="23378876">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kern w:val="2"/>
                <w:sz w:val="22"/>
                <w:szCs w:val="22"/>
                <w:lang w:val="en-US" w:eastAsia="zh-CN" w:bidi="ar-SA"/>
              </w:rPr>
            </w:pPr>
            <w:r>
              <w:rPr>
                <w:rFonts w:hint="eastAsia" w:ascii="仿宋" w:hAnsi="仿宋" w:eastAsia="仿宋" w:cs="仿宋"/>
                <w:sz w:val="22"/>
                <w:szCs w:val="22"/>
              </w:rPr>
              <w:t>3.1</w:t>
            </w:r>
          </w:p>
        </w:tc>
        <w:tc>
          <w:tcPr>
            <w:tcW w:w="1285" w:type="dxa"/>
            <w:shd w:val="clear" w:color="auto" w:fill="auto"/>
            <w:vAlign w:val="center"/>
          </w:tcPr>
          <w:p w14:paraId="6C6562AA">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snapToGrid w:val="0"/>
                <w:color w:val="000000"/>
                <w:spacing w:val="-3"/>
                <w:kern w:val="0"/>
                <w:sz w:val="22"/>
                <w:szCs w:val="22"/>
                <w:lang w:val="en-US" w:eastAsia="zh-CN" w:bidi="ar-SA"/>
              </w:rPr>
            </w:pPr>
            <w:r>
              <w:rPr>
                <w:rFonts w:hint="eastAsia" w:ascii="仿宋" w:hAnsi="仿宋" w:eastAsia="仿宋" w:cs="仿宋"/>
                <w:snapToGrid w:val="0"/>
                <w:color w:val="000000"/>
                <w:spacing w:val="-3"/>
                <w:kern w:val="0"/>
                <w:sz w:val="22"/>
                <w:szCs w:val="22"/>
              </w:rPr>
              <w:t>河南艺达科技有限公司</w:t>
            </w:r>
          </w:p>
        </w:tc>
        <w:tc>
          <w:tcPr>
            <w:tcW w:w="786" w:type="dxa"/>
            <w:vAlign w:val="center"/>
          </w:tcPr>
          <w:p w14:paraId="228C3F25">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r>
      <w:tr w14:paraId="0FD901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06BC0FC6">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default"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14</w:t>
            </w:r>
          </w:p>
        </w:tc>
        <w:tc>
          <w:tcPr>
            <w:tcW w:w="1333" w:type="dxa"/>
            <w:shd w:val="clear" w:color="auto" w:fill="auto"/>
            <w:vAlign w:val="center"/>
          </w:tcPr>
          <w:p w14:paraId="300DCF43">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一种高效散热的均热板及其制作方法</w:t>
            </w:r>
          </w:p>
        </w:tc>
        <w:tc>
          <w:tcPr>
            <w:tcW w:w="4335" w:type="dxa"/>
            <w:shd w:val="clear" w:color="auto" w:fill="auto"/>
            <w:vAlign w:val="center"/>
          </w:tcPr>
          <w:p w14:paraId="276A16AA">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本发明提出了一种高效散热的均热板及其制作方法,其分为上板、梯度疏水层、梯度亲水层、下板四个部分,该下板采用烧结-电镀技术构建梯度亲水层,梯度亲水层通过拉普拉斯力作用使冷端液体迅速流向热端,均热板吸热后工质会快速汽化变成蒸汽,上板带有梯度疏水层,蒸汽在梯度疏水层的拉普拉斯力和冷热端压差的作用下,形成的液滴能够迅速转移至冷端,液膜或液滴在冷端形成液池,在疏水性和重力的双重作用下,液滴迅速下落,降低壁面与蒸汽之间的热阻,使得梯度疏水层与蒸汽充分换热。</w:t>
            </w:r>
          </w:p>
        </w:tc>
        <w:tc>
          <w:tcPr>
            <w:tcW w:w="2520" w:type="dxa"/>
            <w:shd w:val="clear" w:color="auto" w:fill="auto"/>
            <w:vAlign w:val="center"/>
          </w:tcPr>
          <w:p w14:paraId="6F4B29D5">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曹泷; 郭家驹; 王光辉; 赵露星</w:t>
            </w:r>
          </w:p>
        </w:tc>
        <w:tc>
          <w:tcPr>
            <w:tcW w:w="1080" w:type="dxa"/>
            <w:vMerge w:val="restart"/>
            <w:shd w:val="clear" w:color="auto" w:fill="auto"/>
            <w:vAlign w:val="center"/>
          </w:tcPr>
          <w:p w14:paraId="249426E2">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长期使用权（10年）</w:t>
            </w:r>
          </w:p>
        </w:tc>
        <w:tc>
          <w:tcPr>
            <w:tcW w:w="750" w:type="dxa"/>
            <w:vMerge w:val="restart"/>
            <w:shd w:val="clear" w:color="auto" w:fill="auto"/>
            <w:vAlign w:val="center"/>
          </w:tcPr>
          <w:p w14:paraId="7654770A">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技术许可</w:t>
            </w:r>
          </w:p>
        </w:tc>
        <w:tc>
          <w:tcPr>
            <w:tcW w:w="1204" w:type="dxa"/>
            <w:vMerge w:val="restart"/>
            <w:shd w:val="clear" w:color="auto" w:fill="auto"/>
            <w:vAlign w:val="center"/>
          </w:tcPr>
          <w:p w14:paraId="1B5D7411">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ascii="仿宋" w:hAnsi="仿宋" w:eastAsia="仿宋" w:cs="仿宋"/>
                <w:snapToGrid w:val="0"/>
                <w:color w:val="000000"/>
                <w:spacing w:val="-4"/>
                <w:kern w:val="0"/>
                <w:sz w:val="22"/>
                <w:szCs w:val="22"/>
              </w:rPr>
              <w:t>25</w:t>
            </w:r>
          </w:p>
        </w:tc>
        <w:tc>
          <w:tcPr>
            <w:tcW w:w="1285" w:type="dxa"/>
            <w:vMerge w:val="restart"/>
            <w:shd w:val="clear" w:color="auto" w:fill="auto"/>
            <w:vAlign w:val="center"/>
          </w:tcPr>
          <w:p w14:paraId="0587B700">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郑州道艺新能源科技有限公司</w:t>
            </w:r>
          </w:p>
        </w:tc>
        <w:tc>
          <w:tcPr>
            <w:tcW w:w="786" w:type="dxa"/>
            <w:vAlign w:val="center"/>
          </w:tcPr>
          <w:p w14:paraId="3C49CFCC">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r>
      <w:tr w14:paraId="2609C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23CD677E">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default"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15</w:t>
            </w:r>
          </w:p>
        </w:tc>
        <w:tc>
          <w:tcPr>
            <w:tcW w:w="1333" w:type="dxa"/>
            <w:shd w:val="clear" w:color="auto" w:fill="auto"/>
            <w:vAlign w:val="center"/>
          </w:tcPr>
          <w:p w14:paraId="328FF873">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一种太阳能-风能耦合的冷-电联产能源系统</w:t>
            </w:r>
          </w:p>
        </w:tc>
        <w:tc>
          <w:tcPr>
            <w:tcW w:w="4335" w:type="dxa"/>
            <w:shd w:val="clear" w:color="auto" w:fill="auto"/>
            <w:vAlign w:val="center"/>
          </w:tcPr>
          <w:p w14:paraId="0038FF59">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本发明提出了一种太阳能-风能耦合的冷-电联产能源系统,包括风力储能及供电系统、太阳能有机朗肯循环系统和供冷系统三个子系统,其中：风力储能及供电系统由风力发电机、蓄电设备及三个工质泵连接而成；太阳能有机朗肯循环系统由太阳能集热器、工质泵、热罐、膨胀机、发电机、冷凝器、换热器依次连接而成；供冷系统由蒸发器、冷库、压缩机、冷凝器、膨胀阀、工质泵、冷罐依次连接而成。</w:t>
            </w:r>
          </w:p>
        </w:tc>
        <w:tc>
          <w:tcPr>
            <w:tcW w:w="2520" w:type="dxa"/>
            <w:shd w:val="clear" w:color="auto" w:fill="auto"/>
            <w:vAlign w:val="center"/>
          </w:tcPr>
          <w:p w14:paraId="211EE801">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曹泷; 王光辉; 吴学红; 赵露星; 杨辉</w:t>
            </w:r>
          </w:p>
        </w:tc>
        <w:tc>
          <w:tcPr>
            <w:tcW w:w="1080" w:type="dxa"/>
            <w:vMerge w:val="continue"/>
            <w:shd w:val="clear" w:color="auto" w:fill="auto"/>
            <w:vAlign w:val="center"/>
          </w:tcPr>
          <w:p w14:paraId="11072B71">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c>
          <w:tcPr>
            <w:tcW w:w="750" w:type="dxa"/>
            <w:vMerge w:val="continue"/>
            <w:shd w:val="clear" w:color="auto" w:fill="auto"/>
            <w:vAlign w:val="center"/>
          </w:tcPr>
          <w:p w14:paraId="16EDA3C7">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c>
          <w:tcPr>
            <w:tcW w:w="1204" w:type="dxa"/>
            <w:vMerge w:val="continue"/>
            <w:shd w:val="clear" w:color="auto" w:fill="auto"/>
            <w:vAlign w:val="center"/>
          </w:tcPr>
          <w:p w14:paraId="24ADBA4B">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rPr>
            </w:pPr>
          </w:p>
        </w:tc>
        <w:tc>
          <w:tcPr>
            <w:tcW w:w="1285" w:type="dxa"/>
            <w:vMerge w:val="continue"/>
            <w:shd w:val="clear" w:color="auto" w:fill="auto"/>
            <w:vAlign w:val="center"/>
          </w:tcPr>
          <w:p w14:paraId="659CDFC4">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c>
          <w:tcPr>
            <w:tcW w:w="786" w:type="dxa"/>
            <w:vAlign w:val="center"/>
          </w:tcPr>
          <w:p w14:paraId="63CDEA8B">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r>
      <w:tr w14:paraId="13D38C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5BF43B77">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default"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16</w:t>
            </w:r>
          </w:p>
        </w:tc>
        <w:tc>
          <w:tcPr>
            <w:tcW w:w="1333" w:type="dxa"/>
            <w:shd w:val="clear" w:color="auto" w:fill="auto"/>
            <w:vAlign w:val="center"/>
          </w:tcPr>
          <w:p w14:paraId="29BBD5B6">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一种亲疏水转换的智能表面换热管</w:t>
            </w:r>
          </w:p>
        </w:tc>
        <w:tc>
          <w:tcPr>
            <w:tcW w:w="4335" w:type="dxa"/>
            <w:shd w:val="clear" w:color="auto" w:fill="auto"/>
            <w:vAlign w:val="center"/>
          </w:tcPr>
          <w:p w14:paraId="34A83D6D">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本发明提出了一种亲疏水转换的智能表面换热管,基管内表面沿周向分为间隔区以及智能表面区,智能表面区从管内壁依次先后构建绝缘层一、导电层、多孔层、绝缘层二,最后将疏水基团进行带电喷涂到绝缘层二上,各智能表面区域的导电层与多通道直流电源的不同通道相连,基管外等距分若干截面,每截面上下端均焊接有热电偶监测截面的上下端温度,温度反馈于计算机,计算机调节多通道直流电源各通道的电流,使带电疏水基团发生移动,使管内表面在时空层次进行亲疏水转变。</w:t>
            </w:r>
          </w:p>
        </w:tc>
        <w:tc>
          <w:tcPr>
            <w:tcW w:w="2520" w:type="dxa"/>
            <w:shd w:val="clear" w:color="auto" w:fill="auto"/>
            <w:vAlign w:val="center"/>
          </w:tcPr>
          <w:p w14:paraId="3AA5CA88">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曹泷; 王光辉; 赵露星; 吴学红; 杨辉</w:t>
            </w:r>
          </w:p>
        </w:tc>
        <w:tc>
          <w:tcPr>
            <w:tcW w:w="1080" w:type="dxa"/>
            <w:vMerge w:val="continue"/>
            <w:shd w:val="clear" w:color="auto" w:fill="auto"/>
            <w:vAlign w:val="center"/>
          </w:tcPr>
          <w:p w14:paraId="52CE2062">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c>
          <w:tcPr>
            <w:tcW w:w="750" w:type="dxa"/>
            <w:vMerge w:val="continue"/>
            <w:shd w:val="clear" w:color="auto" w:fill="auto"/>
            <w:vAlign w:val="center"/>
          </w:tcPr>
          <w:p w14:paraId="0F0FBF0C">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c>
          <w:tcPr>
            <w:tcW w:w="1204" w:type="dxa"/>
            <w:vMerge w:val="continue"/>
            <w:shd w:val="clear" w:color="auto" w:fill="auto"/>
            <w:vAlign w:val="center"/>
          </w:tcPr>
          <w:p w14:paraId="2B50B267">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rPr>
            </w:pPr>
          </w:p>
        </w:tc>
        <w:tc>
          <w:tcPr>
            <w:tcW w:w="1285" w:type="dxa"/>
            <w:vMerge w:val="continue"/>
            <w:shd w:val="clear" w:color="auto" w:fill="auto"/>
            <w:vAlign w:val="center"/>
          </w:tcPr>
          <w:p w14:paraId="34F62011">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c>
          <w:tcPr>
            <w:tcW w:w="786" w:type="dxa"/>
            <w:vAlign w:val="center"/>
          </w:tcPr>
          <w:p w14:paraId="252E489B">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r>
      <w:tr w14:paraId="5E201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547952AB">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default"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17</w:t>
            </w:r>
          </w:p>
        </w:tc>
        <w:tc>
          <w:tcPr>
            <w:tcW w:w="1333" w:type="dxa"/>
            <w:shd w:val="clear" w:color="auto" w:fill="auto"/>
            <w:vAlign w:val="center"/>
          </w:tcPr>
          <w:p w14:paraId="264C8DAE">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一种纳米磁性粒子亲疏水智能管及其控制系统</w:t>
            </w:r>
          </w:p>
        </w:tc>
        <w:tc>
          <w:tcPr>
            <w:tcW w:w="4335" w:type="dxa"/>
            <w:shd w:val="clear" w:color="auto" w:fill="auto"/>
            <w:vAlign w:val="center"/>
          </w:tcPr>
          <w:p w14:paraId="15CD5F9B">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本发明提出了一种纳米磁性粒子亲疏水智能管及其控制系统,基管内表面沿周向分为间隔区及智能表面区,智能表面区内部填充纳米磁性粒子,纳米磁性粒子由内插网中穿过的磁感应线来进行控制,磁感应线又与多通道直流电源的不同通道相连,多通道直流电源与计算机连接,计算机调节多通道直流电源各通道的电流,计算机接收基管外表面上下端焊接热电偶的温度反馈,进而改变施加给磁感应线的电流,通过控制电流的强弱来改变磁场的强弱,改变纳米磁性粒子与液滴的接触方式,实现亲疏水的可逆转变,调节表面浸润性。</w:t>
            </w:r>
          </w:p>
        </w:tc>
        <w:tc>
          <w:tcPr>
            <w:tcW w:w="2520" w:type="dxa"/>
            <w:shd w:val="clear" w:color="auto" w:fill="auto"/>
            <w:vAlign w:val="center"/>
          </w:tcPr>
          <w:p w14:paraId="7951ABB4">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曹泷; 王光辉; 赵露星; 王涛; 杨辉; 李仲芊</w:t>
            </w:r>
          </w:p>
        </w:tc>
        <w:tc>
          <w:tcPr>
            <w:tcW w:w="1080" w:type="dxa"/>
            <w:vMerge w:val="continue"/>
            <w:shd w:val="clear" w:color="auto" w:fill="auto"/>
            <w:vAlign w:val="center"/>
          </w:tcPr>
          <w:p w14:paraId="4E76C4DC">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c>
          <w:tcPr>
            <w:tcW w:w="750" w:type="dxa"/>
            <w:vMerge w:val="continue"/>
            <w:shd w:val="clear" w:color="auto" w:fill="auto"/>
            <w:vAlign w:val="center"/>
          </w:tcPr>
          <w:p w14:paraId="3326F7C1">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c>
          <w:tcPr>
            <w:tcW w:w="1204" w:type="dxa"/>
            <w:vMerge w:val="continue"/>
            <w:shd w:val="clear" w:color="auto" w:fill="auto"/>
            <w:vAlign w:val="center"/>
          </w:tcPr>
          <w:p w14:paraId="77575BA3">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rPr>
            </w:pPr>
          </w:p>
        </w:tc>
        <w:tc>
          <w:tcPr>
            <w:tcW w:w="1285" w:type="dxa"/>
            <w:vMerge w:val="continue"/>
            <w:shd w:val="clear" w:color="auto" w:fill="auto"/>
            <w:vAlign w:val="center"/>
          </w:tcPr>
          <w:p w14:paraId="3DB6455D">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c>
          <w:tcPr>
            <w:tcW w:w="786" w:type="dxa"/>
            <w:vAlign w:val="center"/>
          </w:tcPr>
          <w:p w14:paraId="58DB3EB1">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r>
      <w:tr w14:paraId="6166BC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2B57B0D1">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default"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18</w:t>
            </w:r>
          </w:p>
        </w:tc>
        <w:tc>
          <w:tcPr>
            <w:tcW w:w="1333" w:type="dxa"/>
            <w:shd w:val="clear" w:color="auto" w:fill="auto"/>
            <w:vAlign w:val="center"/>
          </w:tcPr>
          <w:p w14:paraId="0EB183FE">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一种沸腾强化蒸发换热管及其制作装置与制作方法</w:t>
            </w:r>
          </w:p>
        </w:tc>
        <w:tc>
          <w:tcPr>
            <w:tcW w:w="4335" w:type="dxa"/>
            <w:shd w:val="clear" w:color="auto" w:fill="auto"/>
            <w:vAlign w:val="center"/>
          </w:tcPr>
          <w:p w14:paraId="5BAA6F7D">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本发明提出了一种沸腾强化蒸发换热管及其制作装置与制作方法,换热管由外部的基管、管内丝网、组合件组成,制作装置由电加热循环、电镀循环以及冷却回路组成,采用水力锻压的方法将换热管内壁固定一层管内丝网以及与其连接的组合件,管内丝网网孔间扣有环扣,环扣与牵引线连接,牵引线末端连接扰动球,牵引线以及扰动球表面设有不等距平行排列微结构；将换热管放入上述的制作装置进行烧结以及电镀镶嵌,得到具有强抗干扰能力和结合力的内插件换热管。</w:t>
            </w:r>
          </w:p>
        </w:tc>
        <w:tc>
          <w:tcPr>
            <w:tcW w:w="2520" w:type="dxa"/>
            <w:shd w:val="clear" w:color="auto" w:fill="auto"/>
            <w:vAlign w:val="center"/>
          </w:tcPr>
          <w:p w14:paraId="0C0C8889">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曹泷; 赵露星; 王燕令; 吴学红; 杨辉</w:t>
            </w:r>
          </w:p>
        </w:tc>
        <w:tc>
          <w:tcPr>
            <w:tcW w:w="1080" w:type="dxa"/>
            <w:vMerge w:val="continue"/>
            <w:shd w:val="clear" w:color="auto" w:fill="auto"/>
            <w:vAlign w:val="center"/>
          </w:tcPr>
          <w:p w14:paraId="2B86F102">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c>
          <w:tcPr>
            <w:tcW w:w="750" w:type="dxa"/>
            <w:vMerge w:val="continue"/>
            <w:shd w:val="clear" w:color="auto" w:fill="auto"/>
            <w:vAlign w:val="center"/>
          </w:tcPr>
          <w:p w14:paraId="66AD67DB">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c>
          <w:tcPr>
            <w:tcW w:w="1204" w:type="dxa"/>
            <w:vMerge w:val="continue"/>
            <w:shd w:val="clear" w:color="auto" w:fill="auto"/>
            <w:vAlign w:val="center"/>
          </w:tcPr>
          <w:p w14:paraId="71E46AE6">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rPr>
            </w:pPr>
          </w:p>
        </w:tc>
        <w:tc>
          <w:tcPr>
            <w:tcW w:w="1285" w:type="dxa"/>
            <w:vMerge w:val="continue"/>
            <w:shd w:val="clear" w:color="auto" w:fill="auto"/>
            <w:vAlign w:val="center"/>
          </w:tcPr>
          <w:p w14:paraId="15BA9BFE">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c>
          <w:tcPr>
            <w:tcW w:w="786" w:type="dxa"/>
            <w:vAlign w:val="center"/>
          </w:tcPr>
          <w:p w14:paraId="72D1030D">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r>
      <w:tr w14:paraId="5AB6EF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11554514">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default"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19</w:t>
            </w:r>
          </w:p>
        </w:tc>
        <w:tc>
          <w:tcPr>
            <w:tcW w:w="1333" w:type="dxa"/>
            <w:shd w:val="clear" w:color="auto" w:fill="auto"/>
            <w:vAlign w:val="center"/>
          </w:tcPr>
          <w:p w14:paraId="7B2FE5AF">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一种被动式协同振动强化蒸发换热管</w:t>
            </w:r>
          </w:p>
        </w:tc>
        <w:tc>
          <w:tcPr>
            <w:tcW w:w="4335" w:type="dxa"/>
            <w:shd w:val="clear" w:color="auto" w:fill="auto"/>
            <w:vAlign w:val="center"/>
          </w:tcPr>
          <w:p w14:paraId="44189D1F">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本发明提出了一种被动式协同振动强化蒸发换热管,换热管壁面等距间隔设置多组通孔,密封套管与通孔耦合连接,上垫片位于密封套管的上端；P型元件和N型元件的热端与上垫片连接,P型元件以及N型元件的冷端分别与左导铜片和右导铜片的一侧连接,左导铜片和右导铜片的另一侧分别与转子的正负极连接；转子前端套设有偏心轮,导热密封环位于密封套管的下端；转子外侧设有与密封套管固定连接的固定架。</w:t>
            </w:r>
          </w:p>
        </w:tc>
        <w:tc>
          <w:tcPr>
            <w:tcW w:w="2520" w:type="dxa"/>
            <w:shd w:val="clear" w:color="auto" w:fill="auto"/>
            <w:vAlign w:val="center"/>
          </w:tcPr>
          <w:p w14:paraId="1A31C389">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曹泷; 赵露星; 王涛; 吴学红; 杨辉</w:t>
            </w:r>
          </w:p>
        </w:tc>
        <w:tc>
          <w:tcPr>
            <w:tcW w:w="1080" w:type="dxa"/>
            <w:vMerge w:val="continue"/>
            <w:shd w:val="clear" w:color="auto" w:fill="auto"/>
            <w:vAlign w:val="center"/>
          </w:tcPr>
          <w:p w14:paraId="58E74762">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c>
          <w:tcPr>
            <w:tcW w:w="750" w:type="dxa"/>
            <w:vMerge w:val="continue"/>
            <w:shd w:val="clear" w:color="auto" w:fill="auto"/>
            <w:vAlign w:val="center"/>
          </w:tcPr>
          <w:p w14:paraId="0C451704">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c>
          <w:tcPr>
            <w:tcW w:w="1204" w:type="dxa"/>
            <w:vMerge w:val="continue"/>
            <w:shd w:val="clear" w:color="auto" w:fill="auto"/>
            <w:vAlign w:val="center"/>
          </w:tcPr>
          <w:p w14:paraId="5B54D10B">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rPr>
            </w:pPr>
          </w:p>
        </w:tc>
        <w:tc>
          <w:tcPr>
            <w:tcW w:w="1285" w:type="dxa"/>
            <w:vMerge w:val="continue"/>
            <w:shd w:val="clear" w:color="auto" w:fill="auto"/>
            <w:vAlign w:val="center"/>
          </w:tcPr>
          <w:p w14:paraId="00B2C77F">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c>
          <w:tcPr>
            <w:tcW w:w="786" w:type="dxa"/>
            <w:vAlign w:val="center"/>
          </w:tcPr>
          <w:p w14:paraId="36F57656">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r>
      <w:tr w14:paraId="3BFB6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59C9F53C">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default"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20</w:t>
            </w:r>
          </w:p>
        </w:tc>
        <w:tc>
          <w:tcPr>
            <w:tcW w:w="1333" w:type="dxa"/>
            <w:shd w:val="clear" w:color="auto" w:fill="auto"/>
            <w:vAlign w:val="center"/>
          </w:tcPr>
          <w:p w14:paraId="6EBFFDB9">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一种自生电势激发微气泡强化蒸发换热管</w:t>
            </w:r>
          </w:p>
        </w:tc>
        <w:tc>
          <w:tcPr>
            <w:tcW w:w="4335" w:type="dxa"/>
            <w:shd w:val="clear" w:color="auto" w:fill="auto"/>
            <w:vAlign w:val="center"/>
          </w:tcPr>
          <w:p w14:paraId="0B60966F">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该发明由支架、锥形环、永磁体、微加热器、旋转叶片、线圈等构成。锥形环在轴向上开设有微孔,锥形环上镶嵌永磁体以形成磁场,旋转叶片位于锥形环内部,线圈缠绕于成对叶片上,微加热器位于叶片下底。流体经锥形环微孔形成射流冲击叶片使其旋转,在射流冲击驻点区附近将会形成薄边界层,从而增强传热效率。在叶片转动过程中,线圈在磁场内做切割磁感线运动,形成电动势,电流热效应促使微加热器工作激发微气泡,触发沸腾起始点进而强化沸腾传热。同时叶片转动增加管内扰动、提高紊流度,减小管内流体速度场与温度梯度场的夹角,提高场协同程度,强化管内传热。</w:t>
            </w:r>
          </w:p>
        </w:tc>
        <w:tc>
          <w:tcPr>
            <w:tcW w:w="2520" w:type="dxa"/>
            <w:shd w:val="clear" w:color="auto" w:fill="auto"/>
            <w:vAlign w:val="center"/>
          </w:tcPr>
          <w:p w14:paraId="028FBD21">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曹泷; 赵露星; 吕财; 杨辉; 吴学红; 王涛</w:t>
            </w:r>
          </w:p>
        </w:tc>
        <w:tc>
          <w:tcPr>
            <w:tcW w:w="1080" w:type="dxa"/>
            <w:vMerge w:val="continue"/>
            <w:shd w:val="clear" w:color="auto" w:fill="auto"/>
            <w:vAlign w:val="center"/>
          </w:tcPr>
          <w:p w14:paraId="6B985E6F">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c>
          <w:tcPr>
            <w:tcW w:w="750" w:type="dxa"/>
            <w:vMerge w:val="continue"/>
            <w:shd w:val="clear" w:color="auto" w:fill="auto"/>
            <w:vAlign w:val="center"/>
          </w:tcPr>
          <w:p w14:paraId="0694441E">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c>
          <w:tcPr>
            <w:tcW w:w="1204" w:type="dxa"/>
            <w:vMerge w:val="continue"/>
            <w:shd w:val="clear" w:color="auto" w:fill="auto"/>
            <w:vAlign w:val="center"/>
          </w:tcPr>
          <w:p w14:paraId="76DF82CF">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rPr>
            </w:pPr>
          </w:p>
        </w:tc>
        <w:tc>
          <w:tcPr>
            <w:tcW w:w="1285" w:type="dxa"/>
            <w:vMerge w:val="continue"/>
            <w:shd w:val="clear" w:color="auto" w:fill="auto"/>
            <w:vAlign w:val="center"/>
          </w:tcPr>
          <w:p w14:paraId="141AA094">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c>
          <w:tcPr>
            <w:tcW w:w="786" w:type="dxa"/>
            <w:vAlign w:val="center"/>
          </w:tcPr>
          <w:p w14:paraId="4F20FA11">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r>
      <w:tr w14:paraId="3E0476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9" w:hRule="atLeast"/>
        </w:trPr>
        <w:tc>
          <w:tcPr>
            <w:tcW w:w="544" w:type="dxa"/>
            <w:vAlign w:val="center"/>
          </w:tcPr>
          <w:p w14:paraId="5A558802">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default"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21</w:t>
            </w:r>
          </w:p>
        </w:tc>
        <w:tc>
          <w:tcPr>
            <w:tcW w:w="1333" w:type="dxa"/>
            <w:shd w:val="clear" w:color="auto" w:fill="auto"/>
            <w:vAlign w:val="center"/>
          </w:tcPr>
          <w:p w14:paraId="1CA967F7">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一种自动调节通风量的柔性风管控制装置</w:t>
            </w:r>
          </w:p>
        </w:tc>
        <w:tc>
          <w:tcPr>
            <w:tcW w:w="4335" w:type="dxa"/>
            <w:shd w:val="clear" w:color="auto" w:fill="auto"/>
            <w:vAlign w:val="center"/>
          </w:tcPr>
          <w:p w14:paraId="32C1370C">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本发明提出了一种自动调节通风量的柔性风管控制装置,静压箱、硬管接口、柔性风管、卡环、喷口、固定组件、动力组件和控制机构,静压箱一端设有硬管接口,柔性风管套在硬管接口上并通过卡环锁紧,喷口等间距开设在柔性风管上。固定组件包括吊环、圆孔套、滑轮和连接纽扣,动力组件包括细钢丝绳、挡风板和驱动机构；吊环悬吊在楼板或其它构件下以保证柔性风管平直,圆孔套固定在柔性风管上并统一偏向静压箱的一侧且距喷口有一定的距离,滑轮固定在圆孔套上端,连接纽扣安装在柔性风管的上部,细钢丝绳的一端通过连接纽扣固定在挡风板的上端来控制挡风板,另一端通过滑轮连接到驱动机构内的移动平台上,挡风板安装在喷口内部的一侧,驱动机构由控制机构控制用于驱动细钢丝绳牵引挡风板。</w:t>
            </w:r>
          </w:p>
        </w:tc>
        <w:tc>
          <w:tcPr>
            <w:tcW w:w="2520" w:type="dxa"/>
            <w:shd w:val="clear" w:color="auto" w:fill="auto"/>
            <w:vAlign w:val="center"/>
          </w:tcPr>
          <w:p w14:paraId="6C2F54A3">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曹泷; 杨辉; 刘鹤; 王燕令; 吴学红; 张胜利</w:t>
            </w:r>
          </w:p>
        </w:tc>
        <w:tc>
          <w:tcPr>
            <w:tcW w:w="1080" w:type="dxa"/>
            <w:vMerge w:val="continue"/>
            <w:shd w:val="clear" w:color="auto" w:fill="auto"/>
            <w:vAlign w:val="center"/>
          </w:tcPr>
          <w:p w14:paraId="6A6309B6">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c>
          <w:tcPr>
            <w:tcW w:w="750" w:type="dxa"/>
            <w:vMerge w:val="continue"/>
            <w:shd w:val="clear" w:color="auto" w:fill="auto"/>
            <w:vAlign w:val="center"/>
          </w:tcPr>
          <w:p w14:paraId="4A945446">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c>
          <w:tcPr>
            <w:tcW w:w="1204" w:type="dxa"/>
            <w:vMerge w:val="continue"/>
            <w:shd w:val="clear" w:color="auto" w:fill="auto"/>
            <w:vAlign w:val="center"/>
          </w:tcPr>
          <w:p w14:paraId="4FBCEC0D">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rPr>
            </w:pPr>
          </w:p>
        </w:tc>
        <w:tc>
          <w:tcPr>
            <w:tcW w:w="1285" w:type="dxa"/>
            <w:vMerge w:val="continue"/>
            <w:shd w:val="clear" w:color="auto" w:fill="auto"/>
            <w:vAlign w:val="center"/>
          </w:tcPr>
          <w:p w14:paraId="6B88DBA2">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c>
          <w:tcPr>
            <w:tcW w:w="786" w:type="dxa"/>
            <w:vAlign w:val="center"/>
          </w:tcPr>
          <w:p w14:paraId="48C829AD">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r>
      <w:tr w14:paraId="4AA468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2709BF88">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default"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22</w:t>
            </w:r>
          </w:p>
        </w:tc>
        <w:tc>
          <w:tcPr>
            <w:tcW w:w="1333" w:type="dxa"/>
            <w:shd w:val="clear" w:color="auto" w:fill="auto"/>
            <w:vAlign w:val="center"/>
          </w:tcPr>
          <w:p w14:paraId="55DA6DD1">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带有冷却装置的直流充电枪</w:t>
            </w:r>
          </w:p>
        </w:tc>
        <w:tc>
          <w:tcPr>
            <w:tcW w:w="4335" w:type="dxa"/>
            <w:shd w:val="clear" w:color="auto" w:fill="auto"/>
            <w:vAlign w:val="center"/>
          </w:tcPr>
          <w:p w14:paraId="7AC3C94D">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本发明提出了一种带有冷却装置的直流充电枪,要解决的技术问题是传统的直流充电枪充电过程中充电枪体温度过高,存在安全隐患。本发明包括外壳和设置在外壳内的充电模块,外壳右侧设有把手,外壳内还设有温度控制系统,所述的温度控制系统包括温度传感器、控制器和冷却装置,所述的冷却装置包括套筒,与套筒内腔相连设有进气管,套筒内表面设有排气孔,所述控制器的输入端与温度传感器相连、输出端与进气管上的阀门相连。采用上述技术方案后的本发明通过温度控制系统对充电枪外壳内的温度进行监控并控制,采用压缩空气流经充电枪接口,带走充电枪工作过程中产生的热量,保证充电枪的安全运行。</w:t>
            </w:r>
          </w:p>
        </w:tc>
        <w:tc>
          <w:tcPr>
            <w:tcW w:w="2520" w:type="dxa"/>
            <w:shd w:val="clear" w:color="auto" w:fill="auto"/>
            <w:vAlign w:val="center"/>
          </w:tcPr>
          <w:p w14:paraId="144A4F90">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吴学红; 何永宁; 王燕令; 张业强; 刘献飞; 牛聪</w:t>
            </w:r>
          </w:p>
        </w:tc>
        <w:tc>
          <w:tcPr>
            <w:tcW w:w="1080" w:type="dxa"/>
            <w:shd w:val="clear" w:color="auto" w:fill="auto"/>
            <w:vAlign w:val="center"/>
          </w:tcPr>
          <w:p w14:paraId="7C14ECB4">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长期使用权（10年）</w:t>
            </w:r>
          </w:p>
        </w:tc>
        <w:tc>
          <w:tcPr>
            <w:tcW w:w="750" w:type="dxa"/>
            <w:shd w:val="clear" w:color="auto" w:fill="auto"/>
            <w:vAlign w:val="center"/>
          </w:tcPr>
          <w:p w14:paraId="334BDDFE">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技术许可</w:t>
            </w:r>
          </w:p>
        </w:tc>
        <w:tc>
          <w:tcPr>
            <w:tcW w:w="1204" w:type="dxa"/>
            <w:shd w:val="clear" w:color="auto" w:fill="auto"/>
            <w:vAlign w:val="center"/>
          </w:tcPr>
          <w:p w14:paraId="20E8D2D6">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ascii="仿宋" w:hAnsi="仿宋" w:eastAsia="仿宋" w:cs="仿宋"/>
                <w:snapToGrid w:val="0"/>
                <w:color w:val="000000"/>
                <w:spacing w:val="-4"/>
                <w:kern w:val="0"/>
                <w:sz w:val="22"/>
                <w:szCs w:val="22"/>
              </w:rPr>
              <w:t>3.5</w:t>
            </w:r>
          </w:p>
        </w:tc>
        <w:tc>
          <w:tcPr>
            <w:tcW w:w="1285" w:type="dxa"/>
            <w:shd w:val="clear" w:color="auto" w:fill="auto"/>
            <w:vAlign w:val="center"/>
          </w:tcPr>
          <w:p w14:paraId="16D0ADA9">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郑州道艺新能源科技有限公司</w:t>
            </w:r>
          </w:p>
        </w:tc>
        <w:tc>
          <w:tcPr>
            <w:tcW w:w="786" w:type="dxa"/>
            <w:vAlign w:val="center"/>
          </w:tcPr>
          <w:p w14:paraId="688888F5">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r>
      <w:tr w14:paraId="0FDADF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0F54F8B7">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default"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23</w:t>
            </w:r>
          </w:p>
        </w:tc>
        <w:tc>
          <w:tcPr>
            <w:tcW w:w="1333" w:type="dxa"/>
            <w:shd w:val="clear" w:color="auto" w:fill="auto"/>
            <w:vAlign w:val="center"/>
          </w:tcPr>
          <w:p w14:paraId="3581BDC9">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一种相变球体制备系统及其控制方法</w:t>
            </w:r>
          </w:p>
        </w:tc>
        <w:tc>
          <w:tcPr>
            <w:tcW w:w="4335" w:type="dxa"/>
            <w:shd w:val="clear" w:color="auto" w:fill="auto"/>
            <w:vAlign w:val="center"/>
          </w:tcPr>
          <w:p w14:paraId="5EB037D4">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本发明发明了一种相变球体制备系统及其控制方法,解决了现有技术难以制备石蜡球的技术问题。本发明包括外壳体,外壳体的外周设置有电场发生装置或磁场发生装置,外壳体从下向上包括依次连通的恒温段、加热段和冷却段,所述恒温段、加热段和冷却段内均设置有盐溶液,恒温段的底端连接有向内输送相变材料液滴的喷嘴,喷嘴的外端连接的管道上设置有电磁阀,电磁阀连接有控制单元,相同温度下所述相变材料液滴的密度小于盐溶液的密度。</w:t>
            </w:r>
          </w:p>
        </w:tc>
        <w:tc>
          <w:tcPr>
            <w:tcW w:w="2520" w:type="dxa"/>
            <w:shd w:val="clear" w:color="auto" w:fill="auto"/>
            <w:vAlign w:val="center"/>
          </w:tcPr>
          <w:p w14:paraId="7B9207D4">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王燕令; 田力; 何永宁; 刘莹莹; 任敏</w:t>
            </w:r>
          </w:p>
        </w:tc>
        <w:tc>
          <w:tcPr>
            <w:tcW w:w="1080" w:type="dxa"/>
            <w:shd w:val="clear" w:color="auto" w:fill="auto"/>
            <w:vAlign w:val="center"/>
          </w:tcPr>
          <w:p w14:paraId="0D59E7BB">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长期使用权（10年）</w:t>
            </w:r>
          </w:p>
        </w:tc>
        <w:tc>
          <w:tcPr>
            <w:tcW w:w="750" w:type="dxa"/>
            <w:shd w:val="clear" w:color="auto" w:fill="auto"/>
            <w:vAlign w:val="center"/>
          </w:tcPr>
          <w:p w14:paraId="2CEBB145">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技术许可</w:t>
            </w:r>
          </w:p>
        </w:tc>
        <w:tc>
          <w:tcPr>
            <w:tcW w:w="1204" w:type="dxa"/>
            <w:shd w:val="clear" w:color="auto" w:fill="auto"/>
            <w:vAlign w:val="center"/>
          </w:tcPr>
          <w:p w14:paraId="5A93491D">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ascii="仿宋" w:hAnsi="仿宋" w:eastAsia="仿宋" w:cs="仿宋"/>
                <w:snapToGrid w:val="0"/>
                <w:color w:val="000000"/>
                <w:spacing w:val="-4"/>
                <w:kern w:val="0"/>
                <w:sz w:val="22"/>
                <w:szCs w:val="22"/>
              </w:rPr>
              <w:t>3.5</w:t>
            </w:r>
          </w:p>
        </w:tc>
        <w:tc>
          <w:tcPr>
            <w:tcW w:w="1285" w:type="dxa"/>
            <w:shd w:val="clear" w:color="auto" w:fill="auto"/>
            <w:vAlign w:val="center"/>
          </w:tcPr>
          <w:p w14:paraId="632633C0">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郑州道艺新能源科技有限公司</w:t>
            </w:r>
          </w:p>
        </w:tc>
        <w:tc>
          <w:tcPr>
            <w:tcW w:w="786" w:type="dxa"/>
            <w:vAlign w:val="center"/>
          </w:tcPr>
          <w:p w14:paraId="5B97698B">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r>
    </w:tbl>
    <w:p w14:paraId="645DBAAB"/>
    <w:p w14:paraId="3B1FB6E4">
      <w:pPr>
        <w:rPr>
          <w:rFonts w:hint="eastAsia"/>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 w:name="FZSongS--GB1-5">
    <w:altName w:val="Cambria"/>
    <w:panose1 w:val="00000000000000000000"/>
    <w:charset w:val="00"/>
    <w:family w:val="roman"/>
    <w:pitch w:val="default"/>
    <w:sig w:usb0="00000000" w:usb1="00000000" w:usb2="00000000" w:usb3="00000000" w:csb0="00000000" w:csb1="00000000"/>
  </w:font>
  <w:font w:name="Cambria">
    <w:panose1 w:val="02040503050406030204"/>
    <w:charset w:val="00"/>
    <w:family w:val="auto"/>
    <w:pitch w:val="default"/>
    <w:sig w:usb0="E00002FF" w:usb1="400004FF" w:usb2="00000000"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Q1ZmM5M2NiYzViNjc4ZWU1ODNmMjFmYjE5YjlkNzIifQ=="/>
  </w:docVars>
  <w:rsids>
    <w:rsidRoot w:val="00526205"/>
    <w:rsid w:val="003E78A4"/>
    <w:rsid w:val="00526205"/>
    <w:rsid w:val="005D6006"/>
    <w:rsid w:val="00677108"/>
    <w:rsid w:val="00707A24"/>
    <w:rsid w:val="007C79DE"/>
    <w:rsid w:val="008D7999"/>
    <w:rsid w:val="00947E71"/>
    <w:rsid w:val="00BC644D"/>
    <w:rsid w:val="00C33D5C"/>
    <w:rsid w:val="00ED054C"/>
    <w:rsid w:val="00FC60C9"/>
    <w:rsid w:val="00FD07CD"/>
    <w:rsid w:val="22834149"/>
    <w:rsid w:val="2867729F"/>
    <w:rsid w:val="30DA14B7"/>
    <w:rsid w:val="3A9263BF"/>
    <w:rsid w:val="7D6C41F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spacing w:beforeAutospacing="1" w:afterAutospacing="1"/>
      <w:jc w:val="left"/>
      <w:outlineLvl w:val="0"/>
    </w:pPr>
    <w:rPr>
      <w:rFonts w:hint="eastAsia" w:ascii="宋体" w:hAnsi="宋体"/>
      <w:b/>
      <w:bCs/>
      <w:kern w:val="44"/>
      <w:sz w:val="48"/>
      <w:szCs w:val="48"/>
    </w:rPr>
  </w:style>
  <w:style w:type="character" w:default="1" w:styleId="4">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5">
    <w:name w:val="Hyperlink"/>
    <w:basedOn w:val="4"/>
    <w:qFormat/>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China</Company>
  <Pages>19</Pages>
  <Words>1508</Words>
  <Characters>1523</Characters>
  <Lines>98</Lines>
  <Paragraphs>100</Paragraphs>
  <TotalTime>0</TotalTime>
  <ScaleCrop>false</ScaleCrop>
  <LinksUpToDate>false</LinksUpToDate>
  <CharactersWithSpaces>1595</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2024-10-21T07:48:00Z</dcterms:created>
  <dc:creator>文档存本地丢失不负责</dc:creator>
  <cp:lastModifiedBy>鲍雅如</cp:lastModifiedBy>
  <cp:lastPrinted>2025-11-11T01:31:00Z</cp:lastPrinted>
  <dcterms:modified xsi:type="dcterms:W3CDTF">2025-12-24T06:59:22Z</dcterms:modified>
  <cp:revision>41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04E34C3E7BF5406E98A6D3A2BBB78A85_13</vt:lpwstr>
  </property>
  <property fmtid="{D5CDD505-2E9C-101B-9397-08002B2CF9AE}" pid="4" name="KSOTemplateDocerSaveRecord">
    <vt:lpwstr>eyJoZGlkIjoiNjRiMWNhNzcyYTNmZTkwZTQxMjQ2NTA4NDVmOGU4OGYiLCJ1c2VySWQiOiIzMDA5MzIwNzcifQ==</vt:lpwstr>
  </property>
</Properties>
</file>