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7BF7B9">
      <w:pPr>
        <w:keepNext w:val="0"/>
        <w:keepLines w:val="0"/>
        <w:pageBreakBefore w:val="0"/>
        <w:widowControl w:val="0"/>
        <w:kinsoku/>
        <w:wordWrap/>
        <w:overflowPunct/>
        <w:topLinePunct w:val="0"/>
        <w:autoSpaceDE/>
        <w:autoSpaceDN/>
        <w:bidi w:val="0"/>
        <w:adjustRightInd/>
        <w:spacing w:line="640" w:lineRule="exact"/>
        <w:jc w:val="center"/>
        <w:textAlignment w:val="auto"/>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郑州轻工业大学科研成果赋权情况表</w:t>
      </w:r>
    </w:p>
    <w:p w14:paraId="2033073B">
      <w:pPr>
        <w:keepNext w:val="0"/>
        <w:keepLines w:val="0"/>
        <w:pageBreakBefore w:val="0"/>
        <w:widowControl w:val="0"/>
        <w:kinsoku/>
        <w:wordWrap/>
        <w:overflowPunct/>
        <w:topLinePunct w:val="0"/>
        <w:autoSpaceDE/>
        <w:autoSpaceDN/>
        <w:bidi w:val="0"/>
        <w:adjustRightInd/>
        <w:spacing w:before="156" w:beforeLines="50" w:line="640" w:lineRule="exact"/>
        <w:jc w:val="center"/>
        <w:textAlignment w:val="auto"/>
        <w:rPr>
          <w:rFonts w:ascii="仿宋" w:hAnsi="仿宋" w:eastAsia="仿宋" w:cs="仿宋"/>
          <w:sz w:val="28"/>
          <w:szCs w:val="28"/>
        </w:rPr>
      </w:pPr>
      <w:r>
        <w:rPr>
          <w:rFonts w:hint="eastAsia" w:ascii="仿宋" w:hAnsi="仿宋" w:eastAsia="仿宋" w:cs="仿宋"/>
          <w:sz w:val="28"/>
          <w:szCs w:val="28"/>
        </w:rPr>
        <w:t xml:space="preserve">                                                                      时间：202</w:t>
      </w:r>
      <w:r>
        <w:rPr>
          <w:rFonts w:ascii="仿宋" w:hAnsi="仿宋" w:eastAsia="仿宋" w:cs="仿宋"/>
          <w:sz w:val="28"/>
          <w:szCs w:val="28"/>
        </w:rPr>
        <w:t>5</w:t>
      </w:r>
      <w:r>
        <w:rPr>
          <w:rFonts w:hint="eastAsia" w:ascii="仿宋" w:hAnsi="仿宋" w:eastAsia="仿宋" w:cs="仿宋"/>
          <w:sz w:val="28"/>
          <w:szCs w:val="28"/>
        </w:rPr>
        <w:t>年</w:t>
      </w:r>
      <w:r>
        <w:rPr>
          <w:rFonts w:ascii="仿宋" w:hAnsi="仿宋" w:eastAsia="仿宋" w:cs="仿宋"/>
          <w:sz w:val="28"/>
          <w:szCs w:val="28"/>
        </w:rPr>
        <w:t>9</w:t>
      </w:r>
      <w:r>
        <w:rPr>
          <w:rFonts w:hint="eastAsia" w:ascii="仿宋" w:hAnsi="仿宋" w:eastAsia="仿宋" w:cs="仿宋"/>
          <w:sz w:val="28"/>
          <w:szCs w:val="28"/>
        </w:rPr>
        <w:t>月</w:t>
      </w:r>
      <w:r>
        <w:rPr>
          <w:rFonts w:hint="eastAsia" w:ascii="仿宋" w:hAnsi="仿宋" w:eastAsia="仿宋" w:cs="仿宋"/>
          <w:sz w:val="28"/>
          <w:szCs w:val="28"/>
          <w:lang w:val="en-US" w:eastAsia="zh-CN"/>
        </w:rPr>
        <w:t>23</w:t>
      </w:r>
      <w:r>
        <w:rPr>
          <w:rFonts w:hint="eastAsia" w:ascii="仿宋" w:hAnsi="仿宋" w:eastAsia="仿宋" w:cs="仿宋"/>
          <w:sz w:val="28"/>
          <w:szCs w:val="28"/>
        </w:rPr>
        <w:t>日</w:t>
      </w:r>
    </w:p>
    <w:tbl>
      <w:tblPr>
        <w:tblStyle w:val="4"/>
        <w:tblpPr w:leftFromText="180" w:rightFromText="180" w:vertAnchor="text" w:horzAnchor="page" w:tblpX="1551" w:tblpY="435"/>
        <w:tblOverlap w:val="never"/>
        <w:tblW w:w="138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2279"/>
        <w:gridCol w:w="2672"/>
        <w:gridCol w:w="1276"/>
        <w:gridCol w:w="2417"/>
        <w:gridCol w:w="1207"/>
        <w:gridCol w:w="1371"/>
        <w:gridCol w:w="1285"/>
        <w:gridCol w:w="786"/>
      </w:tblGrid>
      <w:tr w14:paraId="54172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544" w:type="dxa"/>
            <w:shd w:val="clear" w:color="auto" w:fill="auto"/>
            <w:vAlign w:val="center"/>
          </w:tcPr>
          <w:p w14:paraId="59251E8A">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ascii="黑体" w:hAnsi="黑体" w:eastAsia="黑体" w:cs="黑体"/>
                <w:sz w:val="24"/>
              </w:rPr>
            </w:pPr>
            <w:r>
              <w:rPr>
                <w:rFonts w:hint="eastAsia" w:ascii="黑体" w:hAnsi="黑体" w:eastAsia="黑体" w:cs="黑体"/>
                <w:sz w:val="24"/>
              </w:rPr>
              <w:t>序号</w:t>
            </w:r>
          </w:p>
        </w:tc>
        <w:tc>
          <w:tcPr>
            <w:tcW w:w="2279" w:type="dxa"/>
            <w:shd w:val="clear" w:color="auto" w:fill="auto"/>
            <w:vAlign w:val="center"/>
          </w:tcPr>
          <w:p w14:paraId="12A8CFBA">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ascii="黑体" w:hAnsi="黑体" w:eastAsia="黑体" w:cs="黑体"/>
                <w:sz w:val="24"/>
              </w:rPr>
            </w:pPr>
            <w:r>
              <w:rPr>
                <w:rFonts w:hint="eastAsia" w:ascii="黑体" w:hAnsi="黑体" w:eastAsia="黑体" w:cs="黑体"/>
                <w:sz w:val="24"/>
              </w:rPr>
              <w:t>成果名称</w:t>
            </w:r>
          </w:p>
        </w:tc>
        <w:tc>
          <w:tcPr>
            <w:tcW w:w="2672" w:type="dxa"/>
            <w:shd w:val="clear" w:color="auto" w:fill="auto"/>
            <w:vAlign w:val="center"/>
          </w:tcPr>
          <w:p w14:paraId="52F71926">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ascii="黑体" w:hAnsi="黑体" w:eastAsia="黑体" w:cs="黑体"/>
                <w:sz w:val="24"/>
              </w:rPr>
            </w:pPr>
            <w:r>
              <w:rPr>
                <w:rFonts w:hint="eastAsia" w:ascii="黑体" w:hAnsi="黑体" w:eastAsia="黑体" w:cs="黑体"/>
                <w:sz w:val="24"/>
              </w:rPr>
              <w:t>成果内容摘要</w:t>
            </w:r>
          </w:p>
        </w:tc>
        <w:tc>
          <w:tcPr>
            <w:tcW w:w="1276" w:type="dxa"/>
            <w:shd w:val="clear" w:color="auto" w:fill="auto"/>
            <w:vAlign w:val="center"/>
          </w:tcPr>
          <w:p w14:paraId="74F4D320">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ascii="黑体" w:hAnsi="黑体" w:eastAsia="黑体" w:cs="黑体"/>
                <w:sz w:val="24"/>
              </w:rPr>
            </w:pPr>
            <w:r>
              <w:rPr>
                <w:rFonts w:hint="eastAsia" w:ascii="黑体" w:hAnsi="黑体" w:eastAsia="黑体" w:cs="黑体"/>
                <w:sz w:val="24"/>
              </w:rPr>
              <w:t>成果完成人</w:t>
            </w:r>
          </w:p>
        </w:tc>
        <w:tc>
          <w:tcPr>
            <w:tcW w:w="2417" w:type="dxa"/>
            <w:shd w:val="clear" w:color="auto" w:fill="auto"/>
            <w:vAlign w:val="center"/>
          </w:tcPr>
          <w:p w14:paraId="453F20FF">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ascii="黑体" w:hAnsi="黑体" w:eastAsia="黑体" w:cs="黑体"/>
                <w:sz w:val="24"/>
              </w:rPr>
            </w:pPr>
            <w:r>
              <w:rPr>
                <w:rFonts w:hint="eastAsia" w:ascii="黑体" w:hAnsi="黑体" w:eastAsia="黑体" w:cs="黑体"/>
                <w:sz w:val="24"/>
              </w:rPr>
              <w:t>赋权类型</w:t>
            </w:r>
          </w:p>
        </w:tc>
        <w:tc>
          <w:tcPr>
            <w:tcW w:w="1207" w:type="dxa"/>
            <w:shd w:val="clear" w:color="auto" w:fill="auto"/>
            <w:vAlign w:val="center"/>
          </w:tcPr>
          <w:p w14:paraId="2FD1AA2B">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ascii="黑体" w:hAnsi="黑体" w:eastAsia="黑体" w:cs="黑体"/>
                <w:sz w:val="24"/>
              </w:rPr>
            </w:pPr>
            <w:r>
              <w:rPr>
                <w:rFonts w:hint="eastAsia" w:ascii="黑体" w:hAnsi="黑体" w:eastAsia="黑体" w:cs="黑体"/>
                <w:sz w:val="24"/>
              </w:rPr>
              <w:t>转化</w:t>
            </w:r>
          </w:p>
          <w:p w14:paraId="27FDD19F">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ascii="黑体" w:hAnsi="黑体" w:eastAsia="黑体" w:cs="黑体"/>
                <w:sz w:val="24"/>
              </w:rPr>
            </w:pPr>
            <w:r>
              <w:rPr>
                <w:rFonts w:hint="eastAsia" w:ascii="黑体" w:hAnsi="黑体" w:eastAsia="黑体" w:cs="黑体"/>
                <w:sz w:val="24"/>
              </w:rPr>
              <w:t>方式</w:t>
            </w:r>
          </w:p>
        </w:tc>
        <w:tc>
          <w:tcPr>
            <w:tcW w:w="1371" w:type="dxa"/>
            <w:shd w:val="clear" w:color="auto" w:fill="auto"/>
            <w:vAlign w:val="center"/>
          </w:tcPr>
          <w:p w14:paraId="15541909">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ascii="黑体" w:hAnsi="黑体" w:eastAsia="黑体" w:cs="黑体"/>
                <w:sz w:val="24"/>
              </w:rPr>
            </w:pPr>
            <w:r>
              <w:rPr>
                <w:rFonts w:hint="eastAsia" w:ascii="黑体" w:hAnsi="黑体" w:eastAsia="黑体" w:cs="黑体"/>
                <w:sz w:val="24"/>
              </w:rPr>
              <w:t>交易金额（万元）</w:t>
            </w:r>
          </w:p>
        </w:tc>
        <w:tc>
          <w:tcPr>
            <w:tcW w:w="1285" w:type="dxa"/>
            <w:shd w:val="clear" w:color="auto" w:fill="auto"/>
            <w:vAlign w:val="center"/>
          </w:tcPr>
          <w:p w14:paraId="2349618B">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ascii="黑体" w:hAnsi="黑体" w:eastAsia="黑体" w:cs="黑体"/>
                <w:sz w:val="24"/>
              </w:rPr>
            </w:pPr>
            <w:r>
              <w:rPr>
                <w:rFonts w:hint="eastAsia" w:ascii="黑体" w:hAnsi="黑体" w:eastAsia="黑体" w:cs="黑体"/>
                <w:sz w:val="24"/>
              </w:rPr>
              <w:t>受让方</w:t>
            </w:r>
          </w:p>
        </w:tc>
        <w:tc>
          <w:tcPr>
            <w:tcW w:w="786" w:type="dxa"/>
            <w:shd w:val="clear" w:color="auto" w:fill="auto"/>
            <w:vAlign w:val="center"/>
          </w:tcPr>
          <w:p w14:paraId="4150D407">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ascii="黑体" w:hAnsi="黑体" w:eastAsia="黑体" w:cs="黑体"/>
                <w:sz w:val="24"/>
              </w:rPr>
            </w:pPr>
            <w:r>
              <w:rPr>
                <w:rFonts w:hint="eastAsia" w:ascii="黑体" w:hAnsi="黑体" w:eastAsia="黑体" w:cs="黑体"/>
                <w:sz w:val="24"/>
              </w:rPr>
              <w:t>备注</w:t>
            </w:r>
          </w:p>
        </w:tc>
      </w:tr>
      <w:tr w14:paraId="00AE6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462B417C">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ascii="黑体" w:hAnsi="黑体" w:eastAsia="黑体" w:cs="黑体"/>
                <w:sz w:val="24"/>
              </w:rPr>
            </w:pPr>
            <w:r>
              <w:rPr>
                <w:rFonts w:hint="eastAsia" w:ascii="黑体" w:hAnsi="黑体" w:eastAsia="黑体" w:cs="黑体"/>
                <w:sz w:val="24"/>
              </w:rPr>
              <w:t>1</w:t>
            </w:r>
          </w:p>
        </w:tc>
        <w:tc>
          <w:tcPr>
            <w:tcW w:w="2279" w:type="dxa"/>
            <w:shd w:val="clear" w:color="auto" w:fill="auto"/>
            <w:vAlign w:val="center"/>
          </w:tcPr>
          <w:p w14:paraId="7BC9178C">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ascii="仿宋" w:hAnsi="仿宋" w:eastAsia="仿宋" w:cs="仿宋"/>
                <w:snapToGrid w:val="0"/>
                <w:color w:val="000000"/>
                <w:spacing w:val="-4"/>
                <w:kern w:val="0"/>
                <w:sz w:val="24"/>
              </w:rPr>
            </w:pPr>
            <w:bookmarkStart w:id="0" w:name="OLE_LINK47"/>
            <w:bookmarkStart w:id="1" w:name="OLE_LINK46"/>
            <w:r>
              <w:rPr>
                <w:rFonts w:hint="eastAsia" w:ascii="仿宋" w:hAnsi="仿宋" w:eastAsia="仿宋" w:cs="仿宋"/>
                <w:sz w:val="24"/>
              </w:rPr>
              <w:t>一种柑橘渣中链格孢霉毒素和苦味物质的脱除方法</w:t>
            </w:r>
            <w:bookmarkEnd w:id="0"/>
            <w:bookmarkEnd w:id="1"/>
          </w:p>
        </w:tc>
        <w:tc>
          <w:tcPr>
            <w:tcW w:w="2672" w:type="dxa"/>
            <w:shd w:val="clear" w:color="auto" w:fill="auto"/>
            <w:vAlign w:val="center"/>
          </w:tcPr>
          <w:p w14:paraId="36A20D66">
            <w:pPr>
              <w:keepNext w:val="0"/>
              <w:keepLines w:val="0"/>
              <w:pageBreakBefore w:val="0"/>
              <w:widowControl w:val="0"/>
              <w:kinsoku/>
              <w:wordWrap/>
              <w:overflowPunct/>
              <w:topLinePunct w:val="0"/>
              <w:autoSpaceDE/>
              <w:autoSpaceDN/>
              <w:bidi w:val="0"/>
              <w:adjustRightInd/>
              <w:spacing w:before="78" w:line="640" w:lineRule="exact"/>
              <w:jc w:val="left"/>
              <w:textAlignment w:val="auto"/>
              <w:rPr>
                <w:rFonts w:ascii="仿宋" w:hAnsi="仿宋" w:eastAsia="仿宋" w:cs="仿宋"/>
                <w:snapToGrid w:val="0"/>
                <w:color w:val="000000"/>
                <w:spacing w:val="-4"/>
                <w:kern w:val="0"/>
                <w:sz w:val="24"/>
              </w:rPr>
            </w:pPr>
            <w:r>
              <w:rPr>
                <w:rFonts w:hint="eastAsia" w:ascii="仿宋" w:hAnsi="仿宋" w:eastAsia="仿宋" w:cs="仿宋"/>
                <w:sz w:val="24"/>
              </w:rPr>
              <w:t>本发明涉及一种等离子体活化水协同超声波处理脱除柑橘渣中链格孢霉毒素和苦味物质的方法。该方法采用大气压低温等离子体对蒸馏水放电制备等离子体活化水，进而添加到柑橘渣粉末中，并采用超声波处理，从而达到脱除柑橘渣中的链格孢霉毒素和苦味物质的效果。</w:t>
            </w:r>
          </w:p>
        </w:tc>
        <w:tc>
          <w:tcPr>
            <w:tcW w:w="1276" w:type="dxa"/>
            <w:shd w:val="clear" w:color="auto" w:fill="auto"/>
            <w:vAlign w:val="center"/>
          </w:tcPr>
          <w:p w14:paraId="7CD3F009">
            <w:pPr>
              <w:keepNext w:val="0"/>
              <w:keepLines w:val="0"/>
              <w:pageBreakBefore w:val="0"/>
              <w:widowControl w:val="0"/>
              <w:kinsoku/>
              <w:wordWrap/>
              <w:overflowPunct/>
              <w:topLinePunct w:val="0"/>
              <w:autoSpaceDE/>
              <w:autoSpaceDN/>
              <w:bidi w:val="0"/>
              <w:adjustRightInd/>
              <w:snapToGrid w:val="0"/>
              <w:spacing w:line="640" w:lineRule="exact"/>
              <w:textAlignment w:val="auto"/>
              <w:rPr>
                <w:rFonts w:ascii="仿宋" w:hAnsi="仿宋" w:eastAsia="仿宋" w:cs="仿宋"/>
                <w:sz w:val="24"/>
              </w:rPr>
            </w:pPr>
            <w:r>
              <w:rPr>
                <w:rFonts w:hint="eastAsia" w:ascii="仿宋" w:hAnsi="仿宋" w:eastAsia="仿宋" w:cs="仿宋"/>
                <w:sz w:val="24"/>
              </w:rPr>
              <w:t>王小媛</w:t>
            </w:r>
          </w:p>
          <w:p w14:paraId="514EA7C2">
            <w:pPr>
              <w:keepNext w:val="0"/>
              <w:keepLines w:val="0"/>
              <w:pageBreakBefore w:val="0"/>
              <w:widowControl w:val="0"/>
              <w:kinsoku/>
              <w:wordWrap/>
              <w:overflowPunct/>
              <w:topLinePunct w:val="0"/>
              <w:autoSpaceDE/>
              <w:autoSpaceDN/>
              <w:bidi w:val="0"/>
              <w:adjustRightInd/>
              <w:snapToGrid w:val="0"/>
              <w:spacing w:line="640" w:lineRule="exact"/>
              <w:textAlignment w:val="auto"/>
              <w:rPr>
                <w:rFonts w:ascii="仿宋" w:hAnsi="仿宋" w:eastAsia="仿宋" w:cs="仿宋"/>
                <w:sz w:val="24"/>
              </w:rPr>
            </w:pPr>
            <w:r>
              <w:rPr>
                <w:rFonts w:hint="eastAsia" w:ascii="仿宋" w:hAnsi="仿宋" w:eastAsia="仿宋" w:cs="仿宋"/>
                <w:sz w:val="24"/>
              </w:rPr>
              <w:t>魏肖鹏</w:t>
            </w:r>
          </w:p>
          <w:p w14:paraId="312F0AE1">
            <w:pPr>
              <w:keepNext w:val="0"/>
              <w:keepLines w:val="0"/>
              <w:pageBreakBefore w:val="0"/>
              <w:widowControl w:val="0"/>
              <w:kinsoku/>
              <w:wordWrap/>
              <w:overflowPunct/>
              <w:topLinePunct w:val="0"/>
              <w:autoSpaceDE/>
              <w:autoSpaceDN/>
              <w:bidi w:val="0"/>
              <w:adjustRightInd/>
              <w:snapToGrid w:val="0"/>
              <w:spacing w:line="640" w:lineRule="exact"/>
              <w:textAlignment w:val="auto"/>
              <w:rPr>
                <w:rFonts w:ascii="仿宋" w:hAnsi="仿宋" w:eastAsia="仿宋" w:cs="仿宋"/>
                <w:sz w:val="24"/>
              </w:rPr>
            </w:pPr>
            <w:r>
              <w:rPr>
                <w:rFonts w:hint="eastAsia" w:ascii="仿宋" w:hAnsi="仿宋" w:eastAsia="仿宋" w:cs="仿宋"/>
                <w:sz w:val="24"/>
              </w:rPr>
              <w:t xml:space="preserve">葛珍珍 </w:t>
            </w:r>
          </w:p>
          <w:p w14:paraId="748574A4">
            <w:pPr>
              <w:keepNext w:val="0"/>
              <w:keepLines w:val="0"/>
              <w:pageBreakBefore w:val="0"/>
              <w:widowControl w:val="0"/>
              <w:kinsoku/>
              <w:wordWrap/>
              <w:overflowPunct/>
              <w:topLinePunct w:val="0"/>
              <w:autoSpaceDE/>
              <w:autoSpaceDN/>
              <w:bidi w:val="0"/>
              <w:adjustRightInd/>
              <w:snapToGrid w:val="0"/>
              <w:spacing w:line="640" w:lineRule="exact"/>
              <w:textAlignment w:val="auto"/>
              <w:rPr>
                <w:rFonts w:ascii="仿宋" w:hAnsi="仿宋" w:eastAsia="仿宋" w:cs="仿宋"/>
                <w:sz w:val="24"/>
              </w:rPr>
            </w:pPr>
            <w:r>
              <w:rPr>
                <w:rFonts w:hint="eastAsia" w:ascii="仿宋" w:hAnsi="仿宋" w:eastAsia="仿宋" w:cs="仿宋"/>
                <w:sz w:val="24"/>
              </w:rPr>
              <w:t>纵伟</w:t>
            </w:r>
          </w:p>
          <w:p w14:paraId="70026B3B">
            <w:pPr>
              <w:keepNext w:val="0"/>
              <w:keepLines w:val="0"/>
              <w:pageBreakBefore w:val="0"/>
              <w:widowControl w:val="0"/>
              <w:kinsoku/>
              <w:wordWrap/>
              <w:overflowPunct/>
              <w:topLinePunct w:val="0"/>
              <w:autoSpaceDE/>
              <w:autoSpaceDN/>
              <w:bidi w:val="0"/>
              <w:adjustRightInd/>
              <w:snapToGrid w:val="0"/>
              <w:spacing w:line="640" w:lineRule="exact"/>
              <w:textAlignment w:val="auto"/>
              <w:rPr>
                <w:rFonts w:ascii="仿宋" w:hAnsi="仿宋" w:eastAsia="仿宋" w:cs="仿宋"/>
                <w:sz w:val="24"/>
              </w:rPr>
            </w:pPr>
            <w:r>
              <w:rPr>
                <w:rFonts w:hint="eastAsia" w:ascii="仿宋" w:hAnsi="仿宋" w:eastAsia="仿宋" w:cs="仿宋"/>
                <w:sz w:val="24"/>
              </w:rPr>
              <w:t>闫溢哲</w:t>
            </w:r>
          </w:p>
          <w:p w14:paraId="5B29FBFD">
            <w:pPr>
              <w:keepNext w:val="0"/>
              <w:keepLines w:val="0"/>
              <w:pageBreakBefore w:val="0"/>
              <w:widowControl w:val="0"/>
              <w:kinsoku/>
              <w:wordWrap/>
              <w:overflowPunct/>
              <w:topLinePunct w:val="0"/>
              <w:autoSpaceDE/>
              <w:autoSpaceDN/>
              <w:bidi w:val="0"/>
              <w:adjustRightInd/>
              <w:snapToGrid w:val="0"/>
              <w:spacing w:line="640" w:lineRule="exact"/>
              <w:textAlignment w:val="auto"/>
              <w:rPr>
                <w:rFonts w:ascii="仿宋" w:hAnsi="仿宋" w:eastAsia="仿宋" w:cs="仿宋"/>
                <w:sz w:val="24"/>
              </w:rPr>
            </w:pPr>
            <w:r>
              <w:rPr>
                <w:rFonts w:hint="eastAsia" w:ascii="仿宋" w:hAnsi="仿宋" w:eastAsia="仿宋" w:cs="仿宋"/>
                <w:sz w:val="24"/>
              </w:rPr>
              <w:t xml:space="preserve">相启森 </w:t>
            </w:r>
          </w:p>
          <w:p w14:paraId="66DC243D">
            <w:pPr>
              <w:keepNext w:val="0"/>
              <w:keepLines w:val="0"/>
              <w:pageBreakBefore w:val="0"/>
              <w:widowControl w:val="0"/>
              <w:kinsoku/>
              <w:wordWrap/>
              <w:overflowPunct/>
              <w:topLinePunct w:val="0"/>
              <w:autoSpaceDE/>
              <w:autoSpaceDN/>
              <w:bidi w:val="0"/>
              <w:adjustRightInd/>
              <w:snapToGrid w:val="0"/>
              <w:spacing w:line="640" w:lineRule="exact"/>
              <w:jc w:val="left"/>
              <w:textAlignment w:val="auto"/>
              <w:rPr>
                <w:rFonts w:ascii="仿宋" w:hAnsi="仿宋" w:eastAsia="仿宋" w:cs="仿宋"/>
                <w:snapToGrid w:val="0"/>
                <w:color w:val="000000"/>
                <w:spacing w:val="-4"/>
                <w:kern w:val="0"/>
                <w:sz w:val="24"/>
              </w:rPr>
            </w:pPr>
            <w:r>
              <w:rPr>
                <w:rFonts w:hint="eastAsia" w:ascii="仿宋" w:hAnsi="仿宋" w:eastAsia="仿宋" w:cs="仿宋"/>
                <w:sz w:val="24"/>
              </w:rPr>
              <w:t xml:space="preserve">刘青    </w:t>
            </w:r>
          </w:p>
        </w:tc>
        <w:tc>
          <w:tcPr>
            <w:tcW w:w="2417" w:type="dxa"/>
            <w:shd w:val="clear" w:color="auto" w:fill="auto"/>
            <w:vAlign w:val="center"/>
          </w:tcPr>
          <w:p w14:paraId="53B500E2">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ascii="仿宋" w:hAnsi="仿宋" w:eastAsia="仿宋" w:cs="仿宋"/>
                <w:snapToGrid w:val="0"/>
                <w:color w:val="000000"/>
                <w:spacing w:val="-4"/>
                <w:kern w:val="0"/>
                <w:sz w:val="24"/>
              </w:rPr>
            </w:pPr>
            <w:bookmarkStart w:id="2" w:name="OLE_LINK5"/>
            <w:bookmarkStart w:id="3" w:name="OLE_LINK6"/>
            <w:r>
              <w:rPr>
                <w:rFonts w:hint="eastAsia" w:ascii="仿宋" w:hAnsi="仿宋" w:eastAsia="仿宋" w:cs="仿宋"/>
                <w:snapToGrid w:val="0"/>
                <w:spacing w:val="-4"/>
                <w:kern w:val="0"/>
                <w:sz w:val="24"/>
              </w:rPr>
              <w:t>长期使用权（10年）、所有权（学校10%，成果完成团队90%）</w:t>
            </w:r>
            <w:bookmarkEnd w:id="2"/>
            <w:bookmarkEnd w:id="3"/>
          </w:p>
        </w:tc>
        <w:tc>
          <w:tcPr>
            <w:tcW w:w="1207" w:type="dxa"/>
            <w:shd w:val="clear" w:color="auto" w:fill="auto"/>
            <w:vAlign w:val="center"/>
          </w:tcPr>
          <w:p w14:paraId="63BFF031">
            <w:pPr>
              <w:keepNext w:val="0"/>
              <w:keepLines w:val="0"/>
              <w:pageBreakBefore w:val="0"/>
              <w:widowControl w:val="0"/>
              <w:kinsoku/>
              <w:wordWrap/>
              <w:overflowPunct/>
              <w:topLinePunct w:val="0"/>
              <w:autoSpaceDE/>
              <w:autoSpaceDN/>
              <w:bidi w:val="0"/>
              <w:adjustRightInd/>
              <w:spacing w:line="640" w:lineRule="exact"/>
              <w:jc w:val="center"/>
              <w:textAlignment w:val="auto"/>
              <w:rPr>
                <w:rFonts w:ascii="仿宋" w:hAnsi="仿宋" w:eastAsia="仿宋" w:cs="仿宋"/>
                <w:sz w:val="24"/>
              </w:rPr>
            </w:pPr>
            <w:r>
              <w:rPr>
                <w:rFonts w:hint="eastAsia" w:ascii="仿宋" w:hAnsi="仿宋" w:eastAsia="仿宋" w:cs="仿宋"/>
                <w:sz w:val="24"/>
              </w:rPr>
              <w:t>技术许可</w:t>
            </w:r>
          </w:p>
          <w:p w14:paraId="3B6A0E01">
            <w:pPr>
              <w:keepNext w:val="0"/>
              <w:keepLines w:val="0"/>
              <w:pageBreakBefore w:val="0"/>
              <w:widowControl w:val="0"/>
              <w:kinsoku/>
              <w:wordWrap/>
              <w:overflowPunct/>
              <w:topLinePunct w:val="0"/>
              <w:autoSpaceDE/>
              <w:autoSpaceDN/>
              <w:bidi w:val="0"/>
              <w:adjustRightInd/>
              <w:spacing w:line="640" w:lineRule="exact"/>
              <w:jc w:val="center"/>
              <w:textAlignment w:val="auto"/>
              <w:rPr>
                <w:rFonts w:ascii="仿宋" w:hAnsi="仿宋" w:eastAsia="仿宋" w:cs="仿宋"/>
                <w:sz w:val="24"/>
              </w:rPr>
            </w:pPr>
          </w:p>
        </w:tc>
        <w:tc>
          <w:tcPr>
            <w:tcW w:w="1371" w:type="dxa"/>
            <w:shd w:val="clear" w:color="auto" w:fill="auto"/>
            <w:vAlign w:val="center"/>
          </w:tcPr>
          <w:p w14:paraId="073DF7CB">
            <w:pPr>
              <w:keepNext w:val="0"/>
              <w:keepLines w:val="0"/>
              <w:pageBreakBefore w:val="0"/>
              <w:widowControl w:val="0"/>
              <w:kinsoku/>
              <w:wordWrap/>
              <w:overflowPunct/>
              <w:topLinePunct w:val="0"/>
              <w:autoSpaceDE/>
              <w:autoSpaceDN/>
              <w:bidi w:val="0"/>
              <w:adjustRightInd/>
              <w:spacing w:line="640" w:lineRule="exact"/>
              <w:jc w:val="center"/>
              <w:textAlignment w:val="auto"/>
              <w:rPr>
                <w:rFonts w:ascii="仿宋" w:hAnsi="仿宋" w:eastAsia="仿宋" w:cs="仿宋"/>
                <w:sz w:val="24"/>
              </w:rPr>
            </w:pPr>
            <w:r>
              <w:rPr>
                <w:rFonts w:ascii="仿宋" w:hAnsi="仿宋" w:eastAsia="仿宋" w:cs="仿宋"/>
                <w:sz w:val="24"/>
              </w:rPr>
              <w:t>30</w:t>
            </w:r>
            <w:bookmarkStart w:id="5" w:name="_GoBack"/>
            <w:bookmarkEnd w:id="5"/>
          </w:p>
        </w:tc>
        <w:tc>
          <w:tcPr>
            <w:tcW w:w="1285" w:type="dxa"/>
            <w:shd w:val="clear" w:color="auto" w:fill="auto"/>
            <w:vAlign w:val="center"/>
          </w:tcPr>
          <w:p w14:paraId="51FC7D2B">
            <w:pPr>
              <w:keepNext w:val="0"/>
              <w:keepLines w:val="0"/>
              <w:pageBreakBefore w:val="0"/>
              <w:widowControl w:val="0"/>
              <w:kinsoku/>
              <w:wordWrap/>
              <w:overflowPunct/>
              <w:topLinePunct w:val="0"/>
              <w:autoSpaceDE/>
              <w:autoSpaceDN/>
              <w:bidi w:val="0"/>
              <w:adjustRightInd/>
              <w:spacing w:line="640" w:lineRule="exact"/>
              <w:jc w:val="center"/>
              <w:textAlignment w:val="auto"/>
              <w:rPr>
                <w:rFonts w:ascii="仿宋" w:hAnsi="仿宋" w:eastAsia="仿宋" w:cs="仿宋"/>
                <w:snapToGrid w:val="0"/>
                <w:color w:val="000000"/>
                <w:spacing w:val="-3"/>
                <w:kern w:val="0"/>
                <w:sz w:val="24"/>
              </w:rPr>
            </w:pPr>
            <w:bookmarkStart w:id="4" w:name="OLE_LINK11"/>
            <w:r>
              <w:rPr>
                <w:rFonts w:hint="eastAsia" w:ascii="仿宋" w:hAnsi="仿宋" w:eastAsia="仿宋" w:cs="仿宋"/>
                <w:sz w:val="24"/>
              </w:rPr>
              <w:t>河南玖玖生态农业科技有限公司</w:t>
            </w:r>
            <w:bookmarkEnd w:id="4"/>
          </w:p>
        </w:tc>
        <w:tc>
          <w:tcPr>
            <w:tcW w:w="786" w:type="dxa"/>
            <w:shd w:val="clear" w:color="auto" w:fill="auto"/>
            <w:vAlign w:val="center"/>
          </w:tcPr>
          <w:p w14:paraId="1238F48A">
            <w:pPr>
              <w:keepNext w:val="0"/>
              <w:keepLines w:val="0"/>
              <w:pageBreakBefore w:val="0"/>
              <w:widowControl w:val="0"/>
              <w:kinsoku/>
              <w:wordWrap/>
              <w:overflowPunct/>
              <w:topLinePunct w:val="0"/>
              <w:autoSpaceDE/>
              <w:autoSpaceDN/>
              <w:bidi w:val="0"/>
              <w:adjustRightInd/>
              <w:spacing w:line="640" w:lineRule="exact"/>
              <w:jc w:val="center"/>
              <w:textAlignment w:val="auto"/>
              <w:rPr>
                <w:rFonts w:ascii="仿宋" w:hAnsi="仿宋" w:eastAsia="仿宋" w:cs="仿宋"/>
                <w:sz w:val="28"/>
                <w:szCs w:val="28"/>
              </w:rPr>
            </w:pPr>
          </w:p>
        </w:tc>
      </w:tr>
    </w:tbl>
    <w:p w14:paraId="15286B80"/>
    <w:p w14:paraId="1BDF9C76"/>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Arial Unicode MS"/>
    <w:panose1 w:val="03000509000000000000"/>
    <w:charset w:val="86"/>
    <w:family w:val="script"/>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1ZmM5M2NiYzViNjc4ZWU1ODNmMjFmYjE5YjlkNzIifQ=="/>
  </w:docVars>
  <w:rsids>
    <w:rsidRoot w:val="1308507D"/>
    <w:rsid w:val="001E4A0D"/>
    <w:rsid w:val="003B65C7"/>
    <w:rsid w:val="00472A0F"/>
    <w:rsid w:val="004A5B1A"/>
    <w:rsid w:val="0068082D"/>
    <w:rsid w:val="00DF06CD"/>
    <w:rsid w:val="00E933FA"/>
    <w:rsid w:val="00EA580A"/>
    <w:rsid w:val="00EB454D"/>
    <w:rsid w:val="098C0E48"/>
    <w:rsid w:val="0F2B62DD"/>
    <w:rsid w:val="1308507D"/>
    <w:rsid w:val="415E2C8C"/>
    <w:rsid w:val="450C246E"/>
    <w:rsid w:val="50D852D8"/>
    <w:rsid w:val="58406388"/>
    <w:rsid w:val="787023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0"/>
    <w:rPr>
      <w:rFonts w:ascii="Calibri" w:hAnsi="Calibri"/>
      <w:kern w:val="2"/>
      <w:sz w:val="18"/>
      <w:szCs w:val="18"/>
    </w:rPr>
  </w:style>
  <w:style w:type="character" w:customStyle="1" w:styleId="7">
    <w:name w:val="页脚 字符"/>
    <w:basedOn w:val="5"/>
    <w:link w:val="2"/>
    <w:qFormat/>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268</Words>
  <Characters>278</Characters>
  <Lines>2</Lines>
  <Paragraphs>1</Paragraphs>
  <TotalTime>0</TotalTime>
  <ScaleCrop>false</ScaleCrop>
  <LinksUpToDate>false</LinksUpToDate>
  <CharactersWithSpaces>354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2022-07-25T00:53:00Z</dcterms:created>
  <dc:creator>文档存本地丢失不负责</dc:creator>
  <cp:lastModifiedBy>鲍雅如</cp:lastModifiedBy>
  <cp:lastPrinted>2022-07-25T02:39:00Z</cp:lastPrinted>
  <dcterms:modified xsi:type="dcterms:W3CDTF">2025-10-10T03:18:54Z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04E34C3E7BF5406E98A6D3A2BBB78A85_13</vt:lpwstr>
  </property>
  <property fmtid="{D5CDD505-2E9C-101B-9397-08002B2CF9AE}" pid="4" name="KSOTemplateDocerSaveRecord">
    <vt:lpwstr>eyJoZGlkIjoiNjRiMWNhNzcyYTNmZTkwZTQxMjQ2NTA4NDVmOGU4OGYiLCJ1c2VySWQiOiIzMDA5MzIwNzcifQ==</vt:lpwstr>
  </property>
</Properties>
</file>