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64A7FB">
      <w:pPr>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郑州轻工业大学科研成果赋权情况表</w:t>
      </w:r>
    </w:p>
    <w:p w14:paraId="458D0C38">
      <w:pPr>
        <w:spacing w:before="156" w:beforeLines="50"/>
        <w:jc w:val="center"/>
        <w:rPr>
          <w:rFonts w:ascii="仿宋" w:hAnsi="仿宋" w:eastAsia="仿宋" w:cs="仿宋"/>
          <w:sz w:val="28"/>
          <w:szCs w:val="28"/>
        </w:rPr>
      </w:pPr>
      <w:r>
        <w:rPr>
          <w:rFonts w:hint="eastAsia" w:ascii="仿宋" w:hAnsi="仿宋" w:eastAsia="仿宋" w:cs="仿宋"/>
          <w:sz w:val="28"/>
          <w:szCs w:val="28"/>
        </w:rPr>
        <w:t xml:space="preserve">                                                                      时间：202</w:t>
      </w:r>
      <w:r>
        <w:rPr>
          <w:rFonts w:ascii="仿宋" w:hAnsi="仿宋" w:eastAsia="仿宋" w:cs="仿宋"/>
          <w:sz w:val="28"/>
          <w:szCs w:val="28"/>
        </w:rPr>
        <w:t>6</w:t>
      </w:r>
      <w:r>
        <w:rPr>
          <w:rFonts w:hint="eastAsia" w:ascii="仿宋" w:hAnsi="仿宋" w:eastAsia="仿宋" w:cs="仿宋"/>
          <w:sz w:val="28"/>
          <w:szCs w:val="28"/>
        </w:rPr>
        <w:t>年</w:t>
      </w:r>
      <w:r>
        <w:rPr>
          <w:rFonts w:ascii="仿宋" w:hAnsi="仿宋" w:eastAsia="仿宋" w:cs="仿宋"/>
          <w:sz w:val="28"/>
          <w:szCs w:val="28"/>
        </w:rPr>
        <w:t>10</w:t>
      </w:r>
      <w:r>
        <w:rPr>
          <w:rFonts w:hint="eastAsia" w:ascii="仿宋" w:hAnsi="仿宋" w:eastAsia="仿宋" w:cs="仿宋"/>
          <w:sz w:val="28"/>
          <w:szCs w:val="28"/>
        </w:rPr>
        <w:t>月</w:t>
      </w:r>
      <w:r>
        <w:rPr>
          <w:rFonts w:ascii="仿宋" w:hAnsi="仿宋" w:eastAsia="仿宋" w:cs="仿宋"/>
          <w:sz w:val="28"/>
          <w:szCs w:val="28"/>
        </w:rPr>
        <w:t>30</w:t>
      </w:r>
      <w:r>
        <w:rPr>
          <w:rFonts w:hint="eastAsia" w:ascii="仿宋" w:hAnsi="仿宋" w:eastAsia="仿宋" w:cs="仿宋"/>
          <w:sz w:val="28"/>
          <w:szCs w:val="28"/>
        </w:rPr>
        <w:t>日</w:t>
      </w:r>
    </w:p>
    <w:tbl>
      <w:tblPr>
        <w:tblStyle w:val="4"/>
        <w:tblpPr w:leftFromText="180" w:rightFromText="180" w:vertAnchor="text" w:horzAnchor="page" w:tblpX="1551" w:tblpY="435"/>
        <w:tblOverlap w:val="never"/>
        <w:tblW w:w="138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4"/>
        <w:gridCol w:w="1691"/>
        <w:gridCol w:w="4110"/>
        <w:gridCol w:w="1418"/>
        <w:gridCol w:w="1425"/>
        <w:gridCol w:w="1207"/>
        <w:gridCol w:w="1371"/>
        <w:gridCol w:w="1285"/>
        <w:gridCol w:w="786"/>
      </w:tblGrid>
      <w:tr w14:paraId="78FCE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trPr>
        <w:tc>
          <w:tcPr>
            <w:tcW w:w="544" w:type="dxa"/>
            <w:shd w:val="clear" w:color="auto" w:fill="auto"/>
            <w:vAlign w:val="center"/>
          </w:tcPr>
          <w:p w14:paraId="4F1A977C">
            <w:pPr>
              <w:snapToGrid w:val="0"/>
              <w:spacing w:line="340" w:lineRule="atLeast"/>
              <w:jc w:val="center"/>
              <w:rPr>
                <w:rFonts w:ascii="黑体" w:hAnsi="黑体" w:eastAsia="黑体" w:cs="黑体"/>
                <w:sz w:val="24"/>
              </w:rPr>
            </w:pPr>
            <w:r>
              <w:rPr>
                <w:rFonts w:hint="eastAsia" w:ascii="黑体" w:hAnsi="黑体" w:eastAsia="黑体" w:cs="黑体"/>
                <w:sz w:val="24"/>
              </w:rPr>
              <w:t>序号</w:t>
            </w:r>
          </w:p>
        </w:tc>
        <w:tc>
          <w:tcPr>
            <w:tcW w:w="1691" w:type="dxa"/>
            <w:shd w:val="clear" w:color="auto" w:fill="auto"/>
            <w:vAlign w:val="center"/>
          </w:tcPr>
          <w:p w14:paraId="4A325367">
            <w:pPr>
              <w:snapToGrid w:val="0"/>
              <w:spacing w:line="340" w:lineRule="atLeast"/>
              <w:jc w:val="center"/>
              <w:rPr>
                <w:rFonts w:ascii="黑体" w:hAnsi="黑体" w:eastAsia="黑体" w:cs="黑体"/>
                <w:sz w:val="24"/>
              </w:rPr>
            </w:pPr>
            <w:r>
              <w:rPr>
                <w:rFonts w:hint="eastAsia" w:ascii="黑体" w:hAnsi="黑体" w:eastAsia="黑体" w:cs="黑体"/>
                <w:sz w:val="24"/>
              </w:rPr>
              <w:t>成果名称</w:t>
            </w:r>
          </w:p>
        </w:tc>
        <w:tc>
          <w:tcPr>
            <w:tcW w:w="4110" w:type="dxa"/>
            <w:shd w:val="clear" w:color="auto" w:fill="auto"/>
            <w:vAlign w:val="center"/>
          </w:tcPr>
          <w:p w14:paraId="07B66AB7">
            <w:pPr>
              <w:snapToGrid w:val="0"/>
              <w:spacing w:line="340" w:lineRule="atLeast"/>
              <w:jc w:val="center"/>
              <w:rPr>
                <w:rFonts w:ascii="黑体" w:hAnsi="黑体" w:eastAsia="黑体" w:cs="黑体"/>
                <w:sz w:val="24"/>
              </w:rPr>
            </w:pPr>
            <w:r>
              <w:rPr>
                <w:rFonts w:hint="eastAsia" w:ascii="黑体" w:hAnsi="黑体" w:eastAsia="黑体" w:cs="黑体"/>
                <w:sz w:val="24"/>
              </w:rPr>
              <w:t>成果内容摘要</w:t>
            </w:r>
          </w:p>
        </w:tc>
        <w:tc>
          <w:tcPr>
            <w:tcW w:w="1418" w:type="dxa"/>
            <w:shd w:val="clear" w:color="auto" w:fill="auto"/>
            <w:vAlign w:val="center"/>
          </w:tcPr>
          <w:p w14:paraId="7C28AF37">
            <w:pPr>
              <w:snapToGrid w:val="0"/>
              <w:spacing w:line="340" w:lineRule="atLeast"/>
              <w:jc w:val="center"/>
              <w:rPr>
                <w:rFonts w:ascii="黑体" w:hAnsi="黑体" w:eastAsia="黑体" w:cs="黑体"/>
                <w:sz w:val="24"/>
              </w:rPr>
            </w:pPr>
            <w:r>
              <w:rPr>
                <w:rFonts w:hint="eastAsia" w:ascii="黑体" w:hAnsi="黑体" w:eastAsia="黑体" w:cs="黑体"/>
                <w:sz w:val="24"/>
              </w:rPr>
              <w:t>成果完成人</w:t>
            </w:r>
          </w:p>
        </w:tc>
        <w:tc>
          <w:tcPr>
            <w:tcW w:w="1425" w:type="dxa"/>
            <w:shd w:val="clear" w:color="auto" w:fill="auto"/>
            <w:vAlign w:val="center"/>
          </w:tcPr>
          <w:p w14:paraId="3FD6CEC9">
            <w:pPr>
              <w:snapToGrid w:val="0"/>
              <w:spacing w:line="340" w:lineRule="atLeast"/>
              <w:jc w:val="center"/>
              <w:rPr>
                <w:rFonts w:ascii="黑体" w:hAnsi="黑体" w:eastAsia="黑体" w:cs="黑体"/>
                <w:sz w:val="24"/>
              </w:rPr>
            </w:pPr>
            <w:r>
              <w:rPr>
                <w:rFonts w:hint="eastAsia" w:ascii="黑体" w:hAnsi="黑体" w:eastAsia="黑体" w:cs="黑体"/>
                <w:sz w:val="24"/>
              </w:rPr>
              <w:t>赋权类型</w:t>
            </w:r>
          </w:p>
        </w:tc>
        <w:tc>
          <w:tcPr>
            <w:tcW w:w="1207" w:type="dxa"/>
            <w:shd w:val="clear" w:color="auto" w:fill="auto"/>
            <w:vAlign w:val="center"/>
          </w:tcPr>
          <w:p w14:paraId="2EC7CDF6">
            <w:pPr>
              <w:snapToGrid w:val="0"/>
              <w:spacing w:line="340" w:lineRule="atLeast"/>
              <w:jc w:val="center"/>
              <w:rPr>
                <w:rFonts w:ascii="黑体" w:hAnsi="黑体" w:eastAsia="黑体" w:cs="黑体"/>
                <w:sz w:val="24"/>
              </w:rPr>
            </w:pPr>
            <w:r>
              <w:rPr>
                <w:rFonts w:hint="eastAsia" w:ascii="黑体" w:hAnsi="黑体" w:eastAsia="黑体" w:cs="黑体"/>
                <w:sz w:val="24"/>
              </w:rPr>
              <w:t>转化</w:t>
            </w:r>
          </w:p>
          <w:p w14:paraId="42352125">
            <w:pPr>
              <w:snapToGrid w:val="0"/>
              <w:spacing w:line="340" w:lineRule="atLeast"/>
              <w:jc w:val="center"/>
              <w:rPr>
                <w:rFonts w:ascii="黑体" w:hAnsi="黑体" w:eastAsia="黑体" w:cs="黑体"/>
                <w:sz w:val="24"/>
              </w:rPr>
            </w:pPr>
            <w:r>
              <w:rPr>
                <w:rFonts w:hint="eastAsia" w:ascii="黑体" w:hAnsi="黑体" w:eastAsia="黑体" w:cs="黑体"/>
                <w:sz w:val="24"/>
              </w:rPr>
              <w:t>方式</w:t>
            </w:r>
          </w:p>
        </w:tc>
        <w:tc>
          <w:tcPr>
            <w:tcW w:w="1371" w:type="dxa"/>
            <w:shd w:val="clear" w:color="auto" w:fill="auto"/>
            <w:vAlign w:val="center"/>
          </w:tcPr>
          <w:p w14:paraId="0B456CEC">
            <w:pPr>
              <w:snapToGrid w:val="0"/>
              <w:spacing w:line="340" w:lineRule="atLeast"/>
              <w:jc w:val="center"/>
              <w:rPr>
                <w:rFonts w:ascii="黑体" w:hAnsi="黑体" w:eastAsia="黑体" w:cs="黑体"/>
                <w:sz w:val="24"/>
              </w:rPr>
            </w:pPr>
            <w:r>
              <w:rPr>
                <w:rFonts w:hint="eastAsia" w:ascii="黑体" w:hAnsi="黑体" w:eastAsia="黑体" w:cs="黑体"/>
                <w:sz w:val="24"/>
              </w:rPr>
              <w:t>交易金额（万元）</w:t>
            </w:r>
          </w:p>
        </w:tc>
        <w:tc>
          <w:tcPr>
            <w:tcW w:w="1285" w:type="dxa"/>
            <w:shd w:val="clear" w:color="auto" w:fill="auto"/>
            <w:vAlign w:val="center"/>
          </w:tcPr>
          <w:p w14:paraId="01706378">
            <w:pPr>
              <w:snapToGrid w:val="0"/>
              <w:spacing w:line="340" w:lineRule="atLeast"/>
              <w:jc w:val="center"/>
              <w:rPr>
                <w:rFonts w:ascii="黑体" w:hAnsi="黑体" w:eastAsia="黑体" w:cs="黑体"/>
                <w:sz w:val="24"/>
              </w:rPr>
            </w:pPr>
            <w:r>
              <w:rPr>
                <w:rFonts w:hint="eastAsia" w:ascii="黑体" w:hAnsi="黑体" w:eastAsia="黑体" w:cs="黑体"/>
                <w:sz w:val="24"/>
              </w:rPr>
              <w:t>受让方</w:t>
            </w:r>
          </w:p>
        </w:tc>
        <w:tc>
          <w:tcPr>
            <w:tcW w:w="786" w:type="dxa"/>
            <w:shd w:val="clear" w:color="auto" w:fill="auto"/>
            <w:vAlign w:val="center"/>
          </w:tcPr>
          <w:p w14:paraId="4FA49BE1">
            <w:pPr>
              <w:snapToGrid w:val="0"/>
              <w:spacing w:line="340" w:lineRule="atLeast"/>
              <w:jc w:val="center"/>
              <w:rPr>
                <w:rFonts w:ascii="黑体" w:hAnsi="黑体" w:eastAsia="黑体" w:cs="黑体"/>
                <w:sz w:val="24"/>
              </w:rPr>
            </w:pPr>
            <w:r>
              <w:rPr>
                <w:rFonts w:hint="eastAsia" w:ascii="黑体" w:hAnsi="黑体" w:eastAsia="黑体" w:cs="黑体"/>
                <w:sz w:val="24"/>
              </w:rPr>
              <w:t>备注</w:t>
            </w:r>
          </w:p>
        </w:tc>
      </w:tr>
      <w:tr w14:paraId="4913C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9" w:hRule="atLeast"/>
        </w:trPr>
        <w:tc>
          <w:tcPr>
            <w:tcW w:w="544" w:type="dxa"/>
            <w:shd w:val="clear" w:color="auto" w:fill="auto"/>
            <w:vAlign w:val="center"/>
          </w:tcPr>
          <w:p w14:paraId="18BC0558">
            <w:pPr>
              <w:snapToGrid w:val="0"/>
              <w:spacing w:line="340" w:lineRule="atLeast"/>
              <w:jc w:val="both"/>
              <w:rPr>
                <w:rFonts w:hint="eastAsia" w:ascii="宋体" w:hAnsi="宋体" w:eastAsia="宋体" w:cs="宋体"/>
                <w:sz w:val="21"/>
                <w:szCs w:val="21"/>
              </w:rPr>
            </w:pPr>
            <w:r>
              <w:rPr>
                <w:rFonts w:hint="eastAsia" w:ascii="宋体" w:hAnsi="宋体" w:eastAsia="宋体" w:cs="宋体"/>
                <w:sz w:val="21"/>
                <w:szCs w:val="21"/>
              </w:rPr>
              <w:t>1</w:t>
            </w:r>
          </w:p>
        </w:tc>
        <w:tc>
          <w:tcPr>
            <w:tcW w:w="1691" w:type="dxa"/>
            <w:shd w:val="clear" w:color="auto" w:fill="auto"/>
            <w:vAlign w:val="center"/>
          </w:tcPr>
          <w:p w14:paraId="0025BABE">
            <w:pPr>
              <w:snapToGrid w:val="0"/>
              <w:spacing w:line="360" w:lineRule="auto"/>
              <w:jc w:val="both"/>
              <w:rPr>
                <w:rFonts w:hint="eastAsia" w:ascii="宋体" w:hAnsi="宋体" w:eastAsia="宋体" w:cs="宋体"/>
                <w:snapToGrid w:val="0"/>
                <w:color w:val="000000"/>
                <w:spacing w:val="-4"/>
                <w:kern w:val="0"/>
                <w:sz w:val="21"/>
                <w:szCs w:val="21"/>
              </w:rPr>
            </w:pPr>
            <w:r>
              <w:rPr>
                <w:rFonts w:hint="eastAsia" w:ascii="宋体" w:hAnsi="宋体" w:eastAsia="宋体" w:cs="宋体"/>
                <w:snapToGrid w:val="0"/>
                <w:color w:val="000000"/>
                <w:spacing w:val="-4"/>
                <w:kern w:val="0"/>
                <w:sz w:val="21"/>
                <w:szCs w:val="21"/>
              </w:rPr>
              <w:t>一种二氢燕麦生物碱D的制备工艺</w:t>
            </w:r>
          </w:p>
        </w:tc>
        <w:tc>
          <w:tcPr>
            <w:tcW w:w="4110" w:type="dxa"/>
            <w:shd w:val="clear" w:color="auto" w:fill="auto"/>
            <w:vAlign w:val="center"/>
          </w:tcPr>
          <w:p w14:paraId="4279C039">
            <w:pPr>
              <w:spacing w:line="360" w:lineRule="auto"/>
              <w:rPr>
                <w:rFonts w:hint="eastAsia"/>
              </w:rPr>
            </w:pPr>
            <w:r>
              <w:rPr>
                <w:rFonts w:hint="eastAsia"/>
              </w:rPr>
              <w:t>本发明涉及一种二氢燕麦生物碱D的制备工艺，以对羟基苯丙酸和醋酸酐为原料得到对乙酰氧基苯丙酸；以氯代溶剂为反应介质，二氯亚砜为酰基化试剂，得到2-[(对乙酰氧基)苯丙酰氨基]苯甲酸甲酯；采用氢氧化钠溶液水解，氯化氢醇溶液酸化，得到二氢燕麦生物碱D。该工艺对酚羟基进行保护，避免底物自聚，减少副产物生成；，利用氯化氢醇溶液代替盐酸酸化，避免产生大量废酸和废水，不使用有毒有害溶剂，经济环保；工艺过程易于控制，收率高，副产物少，适用于二氢燕麦生物碱D的工业化生产。</w:t>
            </w:r>
          </w:p>
        </w:tc>
        <w:tc>
          <w:tcPr>
            <w:tcW w:w="1418" w:type="dxa"/>
            <w:shd w:val="clear" w:color="auto" w:fill="auto"/>
            <w:vAlign w:val="center"/>
          </w:tcPr>
          <w:p w14:paraId="53D02333">
            <w:pPr>
              <w:spacing w:line="360" w:lineRule="auto"/>
              <w:rPr>
                <w:rFonts w:hint="eastAsia"/>
              </w:rPr>
            </w:pPr>
            <w:r>
              <w:rPr>
                <w:rFonts w:hint="eastAsia"/>
              </w:rPr>
              <w:t>钱恒玉、朱金辉、苏东亮、尹志刚、张同艳、彭东来</w:t>
            </w:r>
          </w:p>
        </w:tc>
        <w:tc>
          <w:tcPr>
            <w:tcW w:w="1425" w:type="dxa"/>
            <w:shd w:val="clear" w:color="auto" w:fill="auto"/>
            <w:vAlign w:val="center"/>
          </w:tcPr>
          <w:p w14:paraId="72E3313E">
            <w:pPr>
              <w:spacing w:line="360" w:lineRule="auto"/>
              <w:rPr>
                <w:rFonts w:hint="eastAsia"/>
              </w:rPr>
            </w:pPr>
            <w:r>
              <w:rPr>
                <w:rFonts w:hint="eastAsia"/>
              </w:rPr>
              <w:t>使用权（10年）</w:t>
            </w:r>
          </w:p>
        </w:tc>
        <w:tc>
          <w:tcPr>
            <w:tcW w:w="1207" w:type="dxa"/>
            <w:shd w:val="clear" w:color="auto" w:fill="auto"/>
            <w:vAlign w:val="center"/>
          </w:tcPr>
          <w:p w14:paraId="10E50FF0">
            <w:pPr>
              <w:spacing w:line="360" w:lineRule="auto"/>
              <w:rPr>
                <w:rFonts w:hint="eastAsia"/>
              </w:rPr>
            </w:pPr>
            <w:r>
              <w:rPr>
                <w:rFonts w:hint="eastAsia"/>
              </w:rPr>
              <w:t>技术许可</w:t>
            </w:r>
          </w:p>
          <w:p w14:paraId="45665B28">
            <w:pPr>
              <w:spacing w:line="360" w:lineRule="auto"/>
              <w:rPr>
                <w:rFonts w:hint="eastAsia"/>
              </w:rPr>
            </w:pPr>
          </w:p>
        </w:tc>
        <w:tc>
          <w:tcPr>
            <w:tcW w:w="1371" w:type="dxa"/>
            <w:shd w:val="clear" w:color="auto" w:fill="auto"/>
            <w:vAlign w:val="center"/>
          </w:tcPr>
          <w:p w14:paraId="02C3D70A">
            <w:pPr>
              <w:spacing w:line="360" w:lineRule="auto"/>
              <w:rPr>
                <w:rFonts w:hint="eastAsia"/>
              </w:rPr>
            </w:pPr>
            <w:r>
              <w:rPr>
                <w:rFonts w:hint="eastAsia"/>
              </w:rPr>
              <w:t>152</w:t>
            </w:r>
          </w:p>
        </w:tc>
        <w:tc>
          <w:tcPr>
            <w:tcW w:w="1285" w:type="dxa"/>
            <w:shd w:val="clear" w:color="auto" w:fill="auto"/>
            <w:vAlign w:val="center"/>
          </w:tcPr>
          <w:p w14:paraId="2E1D5561">
            <w:pPr>
              <w:spacing w:line="360" w:lineRule="auto"/>
              <w:rPr>
                <w:rFonts w:hint="eastAsia"/>
              </w:rPr>
            </w:pPr>
            <w:r>
              <w:rPr>
                <w:rFonts w:hint="eastAsia"/>
              </w:rPr>
              <w:t>宁夏泽坤新材料科技有限公司</w:t>
            </w:r>
          </w:p>
        </w:tc>
        <w:tc>
          <w:tcPr>
            <w:tcW w:w="786" w:type="dxa"/>
            <w:shd w:val="clear" w:color="auto" w:fill="auto"/>
            <w:vAlign w:val="center"/>
          </w:tcPr>
          <w:p w14:paraId="36612D4D">
            <w:pPr>
              <w:spacing w:line="360" w:lineRule="auto"/>
              <w:rPr>
                <w:rFonts w:hint="eastAsia"/>
              </w:rPr>
            </w:pPr>
          </w:p>
        </w:tc>
      </w:tr>
      <w:tr w14:paraId="0C016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9" w:hRule="atLeast"/>
        </w:trPr>
        <w:tc>
          <w:tcPr>
            <w:tcW w:w="544" w:type="dxa"/>
            <w:shd w:val="clear" w:color="auto" w:fill="auto"/>
            <w:vAlign w:val="center"/>
          </w:tcPr>
          <w:p w14:paraId="16367E1D">
            <w:pPr>
              <w:snapToGrid w:val="0"/>
              <w:spacing w:line="340" w:lineRule="atLeast"/>
              <w:jc w:val="both"/>
              <w:rPr>
                <w:rFonts w:hint="eastAsia" w:ascii="宋体" w:hAnsi="宋体" w:eastAsia="宋体" w:cs="宋体"/>
                <w:sz w:val="21"/>
                <w:szCs w:val="21"/>
              </w:rPr>
            </w:pPr>
            <w:r>
              <w:rPr>
                <w:rFonts w:hint="eastAsia" w:ascii="宋体" w:hAnsi="宋体" w:eastAsia="宋体" w:cs="宋体"/>
                <w:sz w:val="21"/>
                <w:szCs w:val="21"/>
              </w:rPr>
              <w:t>2</w:t>
            </w:r>
          </w:p>
        </w:tc>
        <w:tc>
          <w:tcPr>
            <w:tcW w:w="1691" w:type="dxa"/>
            <w:shd w:val="clear" w:color="auto" w:fill="auto"/>
            <w:vAlign w:val="center"/>
          </w:tcPr>
          <w:p w14:paraId="4390EEC9">
            <w:pPr>
              <w:keepNext w:val="0"/>
              <w:keepLines w:val="0"/>
              <w:suppressLineNumbers w:val="0"/>
              <w:snapToGrid w:val="0"/>
              <w:spacing w:before="0" w:beforeAutospacing="0" w:after="0" w:afterAutospacing="0" w:line="360" w:lineRule="auto"/>
              <w:ind w:left="0" w:leftChars="0" w:right="0" w:rightChars="0"/>
              <w:jc w:val="both"/>
              <w:rPr>
                <w:rFonts w:hint="eastAsia" w:ascii="宋体" w:hAnsi="宋体" w:eastAsia="宋体" w:cs="宋体"/>
                <w:snapToGrid w:val="0"/>
                <w:color w:val="000000"/>
                <w:spacing w:val="-4"/>
                <w:kern w:val="0"/>
                <w:sz w:val="21"/>
                <w:szCs w:val="21"/>
                <w:lang w:val="en-US" w:eastAsia="zh-CN" w:bidi="ar-SA"/>
              </w:rPr>
            </w:pPr>
            <w:r>
              <w:rPr>
                <w:rFonts w:hint="eastAsia" w:ascii="宋体" w:hAnsi="宋体" w:eastAsia="宋体" w:cs="宋体"/>
                <w:snapToGrid w:val="0"/>
                <w:color w:val="000000"/>
                <w:spacing w:val="-4"/>
                <w:kern w:val="0"/>
                <w:sz w:val="21"/>
                <w:szCs w:val="21"/>
              </w:rPr>
              <w:t>一种基于数字孪生的多轴数控机床安全生产预测预警方法</w:t>
            </w:r>
          </w:p>
        </w:tc>
        <w:tc>
          <w:tcPr>
            <w:tcW w:w="4110" w:type="dxa"/>
            <w:shd w:val="clear" w:color="auto" w:fill="auto"/>
            <w:vAlign w:val="center"/>
          </w:tcPr>
          <w:p w14:paraId="2A255D1A">
            <w:pPr>
              <w:spacing w:line="360" w:lineRule="auto"/>
              <w:rPr>
                <w:rFonts w:hint="eastAsia"/>
                <w:lang w:val="en-US" w:eastAsia="zh-CN"/>
              </w:rPr>
            </w:pPr>
            <w:r>
              <w:rPr>
                <w:rFonts w:hint="eastAsia"/>
                <w:lang w:val="en-US" w:eastAsia="zh-CN"/>
              </w:rPr>
              <w:t>本发明提出了一种基于数字孪生的多轴数控机床安全生产预测预警方法，该方法实现了现实与虚拟空间多轴数控机床之间交互功能，通过虚实交互实验平台对整机运动状态监测，快速精确地预测各种撞机事故并发出预警提示，最终反馈至现实数控机床作出修改。在虚实交互实验平台中，针对多轴数控机床某两零部件，构建模型包围盒，通过重复映射法，将三维模型包围盒相交检测转化成一维直线重叠检测，实现较远两部件快速预检测。当相距较近检测发生相交时，选择某一模型包围盒，通过自顶向下方式、空间四叉划分法构建层次包围盒树，遍历中间节点检测相交状态，当遍历叶节点三角网格，进行点化处理，通过检测点阵与另一包围盒包含关系，判断是否发生撞机事故。本方法改变了传统检测周期长、高成本的弊端。</w:t>
            </w:r>
            <w:r>
              <w:rPr>
                <w:rFonts w:hint="eastAsia"/>
                <w:lang w:eastAsia="zh-CN"/>
              </w:rPr>
              <w:t>。</w:t>
            </w:r>
          </w:p>
        </w:tc>
        <w:tc>
          <w:tcPr>
            <w:tcW w:w="1418" w:type="dxa"/>
            <w:shd w:val="clear" w:color="auto" w:fill="auto"/>
            <w:vAlign w:val="center"/>
          </w:tcPr>
          <w:p w14:paraId="7C2C7D94">
            <w:pPr>
              <w:spacing w:line="360" w:lineRule="auto"/>
              <w:rPr>
                <w:rFonts w:hint="eastAsia"/>
              </w:rPr>
            </w:pPr>
          </w:p>
          <w:p w14:paraId="577F9824">
            <w:pPr>
              <w:spacing w:line="360" w:lineRule="auto"/>
              <w:rPr>
                <w:rFonts w:hint="eastAsia"/>
              </w:rPr>
            </w:pPr>
            <w:r>
              <w:rPr>
                <w:rFonts w:hint="eastAsia"/>
              </w:rPr>
              <w:t>王巧花</w:t>
            </w:r>
            <w:r>
              <w:rPr>
                <w:rFonts w:hint="eastAsia"/>
                <w:lang w:eastAsia="zh-CN"/>
              </w:rPr>
              <w:t>、</w:t>
            </w:r>
            <w:r>
              <w:rPr>
                <w:rFonts w:hint="eastAsia"/>
              </w:rPr>
              <w:t>赵漂洋</w:t>
            </w:r>
            <w:r>
              <w:rPr>
                <w:rFonts w:hint="eastAsia"/>
                <w:lang w:eastAsia="zh-CN"/>
              </w:rPr>
              <w:t>、</w:t>
            </w:r>
            <w:r>
              <w:rPr>
                <w:rFonts w:hint="eastAsia"/>
              </w:rPr>
              <w:t>梅向阳</w:t>
            </w:r>
            <w:r>
              <w:rPr>
                <w:rFonts w:hint="eastAsia"/>
                <w:lang w:eastAsia="zh-CN"/>
              </w:rPr>
              <w:t>、</w:t>
            </w:r>
            <w:r>
              <w:rPr>
                <w:rFonts w:hint="eastAsia"/>
              </w:rPr>
              <w:t>邬昌军</w:t>
            </w:r>
            <w:r>
              <w:rPr>
                <w:rFonts w:hint="eastAsia"/>
                <w:lang w:eastAsia="zh-CN"/>
              </w:rPr>
              <w:t>、</w:t>
            </w:r>
            <w:r>
              <w:rPr>
                <w:rFonts w:hint="eastAsia"/>
              </w:rPr>
              <w:t>李浩</w:t>
            </w:r>
            <w:r>
              <w:rPr>
                <w:rFonts w:hint="eastAsia"/>
                <w:lang w:eastAsia="zh-CN"/>
              </w:rPr>
              <w:t>、</w:t>
            </w:r>
            <w:r>
              <w:rPr>
                <w:rFonts w:hint="eastAsia"/>
              </w:rPr>
              <w:t>宋晓辉</w:t>
            </w:r>
            <w:r>
              <w:rPr>
                <w:rFonts w:hint="eastAsia"/>
                <w:lang w:eastAsia="zh-CN"/>
              </w:rPr>
              <w:t>、</w:t>
            </w:r>
            <w:r>
              <w:rPr>
                <w:rFonts w:hint="eastAsia"/>
              </w:rPr>
              <w:t>张国辉</w:t>
            </w:r>
            <w:r>
              <w:rPr>
                <w:rFonts w:hint="eastAsia"/>
                <w:lang w:eastAsia="zh-CN"/>
              </w:rPr>
              <w:t>、</w:t>
            </w:r>
            <w:r>
              <w:rPr>
                <w:rFonts w:hint="eastAsia"/>
              </w:rPr>
              <w:t>谢贵重</w:t>
            </w:r>
          </w:p>
          <w:p w14:paraId="668795EB">
            <w:pPr>
              <w:spacing w:line="360" w:lineRule="auto"/>
              <w:rPr>
                <w:rFonts w:hint="eastAsia"/>
                <w:lang w:val="en-US" w:eastAsia="zh-CN"/>
              </w:rPr>
            </w:pPr>
          </w:p>
        </w:tc>
        <w:tc>
          <w:tcPr>
            <w:tcW w:w="1425" w:type="dxa"/>
            <w:shd w:val="clear" w:color="auto" w:fill="auto"/>
            <w:vAlign w:val="center"/>
          </w:tcPr>
          <w:p w14:paraId="7B04FB85">
            <w:pPr>
              <w:spacing w:line="360" w:lineRule="auto"/>
              <w:rPr>
                <w:rFonts w:hint="eastAsia"/>
                <w:lang w:val="en-US" w:eastAsia="zh-CN"/>
              </w:rPr>
            </w:pPr>
            <w:r>
              <w:rPr>
                <w:rFonts w:hint="eastAsia"/>
              </w:rPr>
              <w:t>长期使用权（</w:t>
            </w:r>
            <w:r>
              <w:rPr>
                <w:rFonts w:hint="eastAsia"/>
                <w:lang w:val="en-US" w:eastAsia="zh-CN"/>
              </w:rPr>
              <w:t>6</w:t>
            </w:r>
            <w:r>
              <w:rPr>
                <w:rFonts w:hint="eastAsia"/>
              </w:rPr>
              <w:t>年）</w:t>
            </w:r>
          </w:p>
        </w:tc>
        <w:tc>
          <w:tcPr>
            <w:tcW w:w="1207" w:type="dxa"/>
            <w:shd w:val="clear" w:color="auto" w:fill="auto"/>
            <w:vAlign w:val="center"/>
          </w:tcPr>
          <w:p w14:paraId="093205D8">
            <w:pPr>
              <w:spacing w:line="360" w:lineRule="auto"/>
              <w:rPr>
                <w:rFonts w:hint="eastAsia"/>
                <w:lang w:val="en-US" w:eastAsia="zh-CN"/>
              </w:rPr>
            </w:pPr>
            <w:r>
              <w:rPr>
                <w:rFonts w:hint="eastAsia"/>
              </w:rPr>
              <w:t>技术许可</w:t>
            </w:r>
          </w:p>
        </w:tc>
        <w:tc>
          <w:tcPr>
            <w:tcW w:w="1371" w:type="dxa"/>
            <w:shd w:val="clear" w:color="auto" w:fill="auto"/>
            <w:vAlign w:val="center"/>
          </w:tcPr>
          <w:p w14:paraId="5F16F1EE">
            <w:pPr>
              <w:spacing w:line="360" w:lineRule="auto"/>
              <w:rPr>
                <w:rFonts w:hint="eastAsia"/>
                <w:lang w:val="en-US" w:eastAsia="zh-CN"/>
              </w:rPr>
            </w:pPr>
            <w:r>
              <w:rPr>
                <w:rFonts w:hint="eastAsia"/>
                <w:lang w:val="en-US" w:eastAsia="zh-CN"/>
              </w:rPr>
              <w:t>3.5</w:t>
            </w:r>
          </w:p>
        </w:tc>
        <w:tc>
          <w:tcPr>
            <w:tcW w:w="1285" w:type="dxa"/>
            <w:shd w:val="clear" w:color="auto" w:fill="auto"/>
            <w:vAlign w:val="center"/>
          </w:tcPr>
          <w:p w14:paraId="0E4C15B9">
            <w:pPr>
              <w:spacing w:line="360" w:lineRule="auto"/>
              <w:rPr>
                <w:rFonts w:hint="eastAsia"/>
                <w:lang w:val="en-US" w:eastAsia="zh-CN"/>
              </w:rPr>
            </w:pPr>
            <w:r>
              <w:rPr>
                <w:rFonts w:hint="eastAsia"/>
              </w:rPr>
              <w:t>郑州郑航机电设备有限公司</w:t>
            </w:r>
          </w:p>
        </w:tc>
        <w:tc>
          <w:tcPr>
            <w:tcW w:w="786" w:type="dxa"/>
            <w:shd w:val="clear" w:color="auto" w:fill="auto"/>
            <w:vAlign w:val="center"/>
          </w:tcPr>
          <w:p w14:paraId="17EA2104">
            <w:pPr>
              <w:spacing w:line="360" w:lineRule="auto"/>
              <w:rPr>
                <w:rFonts w:hint="eastAsia"/>
              </w:rPr>
            </w:pPr>
          </w:p>
        </w:tc>
      </w:tr>
      <w:tr w14:paraId="3933B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44" w:type="dxa"/>
            <w:shd w:val="clear" w:color="auto" w:fill="auto"/>
            <w:vAlign w:val="center"/>
          </w:tcPr>
          <w:p w14:paraId="2C3B3612">
            <w:pPr>
              <w:snapToGrid w:val="0"/>
              <w:spacing w:line="340" w:lineRule="atLeast"/>
              <w:jc w:val="both"/>
              <w:rPr>
                <w:rFonts w:hint="eastAsia" w:ascii="宋体" w:hAnsi="宋体" w:eastAsia="宋体" w:cs="宋体"/>
                <w:sz w:val="21"/>
                <w:szCs w:val="21"/>
              </w:rPr>
            </w:pPr>
            <w:r>
              <w:rPr>
                <w:rFonts w:hint="eastAsia" w:ascii="宋体" w:hAnsi="宋体" w:eastAsia="宋体" w:cs="宋体"/>
                <w:sz w:val="21"/>
                <w:szCs w:val="21"/>
              </w:rPr>
              <w:t>3</w:t>
            </w:r>
          </w:p>
        </w:tc>
        <w:tc>
          <w:tcPr>
            <w:tcW w:w="1691" w:type="dxa"/>
            <w:shd w:val="clear"/>
            <w:vAlign w:val="center"/>
          </w:tcPr>
          <w:p w14:paraId="76960C54">
            <w:pPr>
              <w:snapToGrid w:val="0"/>
              <w:spacing w:line="360" w:lineRule="auto"/>
              <w:jc w:val="both"/>
              <w:rPr>
                <w:rFonts w:hint="eastAsia" w:ascii="宋体" w:hAnsi="宋体" w:eastAsia="宋体" w:cs="宋体"/>
                <w:snapToGrid w:val="0"/>
                <w:color w:val="000000"/>
                <w:spacing w:val="-4"/>
                <w:kern w:val="0"/>
                <w:sz w:val="21"/>
                <w:szCs w:val="21"/>
                <w:lang w:val="en-US" w:eastAsia="zh-CN" w:bidi="ar-SA"/>
              </w:rPr>
            </w:pPr>
            <w:r>
              <w:rPr>
                <w:rFonts w:hint="eastAsia" w:ascii="宋体" w:hAnsi="宋体" w:eastAsia="宋体" w:cs="宋体"/>
                <w:snapToGrid w:val="0"/>
                <w:color w:val="000000"/>
                <w:spacing w:val="-4"/>
                <w:kern w:val="0"/>
                <w:sz w:val="21"/>
                <w:szCs w:val="21"/>
              </w:rPr>
              <w:t>基于电磁层析成像技术的滑油磨粒在线监测装置及方法</w:t>
            </w:r>
          </w:p>
        </w:tc>
        <w:tc>
          <w:tcPr>
            <w:tcW w:w="4110" w:type="dxa"/>
            <w:shd w:val="clear"/>
            <w:vAlign w:val="center"/>
          </w:tcPr>
          <w:p w14:paraId="7563F0C4">
            <w:pPr>
              <w:spacing w:line="360" w:lineRule="auto"/>
              <w:rPr>
                <w:rFonts w:hint="eastAsia"/>
                <w:lang w:val="en-US" w:eastAsia="zh-CN"/>
              </w:rPr>
            </w:pPr>
            <w:r>
              <w:rPr>
                <w:rFonts w:hint="eastAsia"/>
              </w:rPr>
              <w:t>本发明公开了一种基于电磁层析成像技术的滑油磨粒在线监测装置及方法。所述在线监测装置包括小尺度双平面电磁层析成像传感器、通道切换模块、Stm32单片机、功率放大模块、信号调理模块、锁相放大器和图像重建计算机。</w:t>
            </w:r>
          </w:p>
        </w:tc>
        <w:tc>
          <w:tcPr>
            <w:tcW w:w="1418" w:type="dxa"/>
            <w:shd w:val="clear"/>
            <w:vAlign w:val="center"/>
          </w:tcPr>
          <w:p w14:paraId="161891F5">
            <w:pPr>
              <w:spacing w:line="360" w:lineRule="auto"/>
              <w:rPr>
                <w:rFonts w:hint="eastAsia"/>
                <w:lang w:val="en-US" w:eastAsia="zh-CN"/>
              </w:rPr>
            </w:pPr>
            <w:r>
              <w:rPr>
                <w:rFonts w:hint="eastAsia"/>
              </w:rPr>
              <w:t>刘向龙;王营;任航丽;</w:t>
            </w:r>
            <w:bookmarkStart w:id="0" w:name="_GoBack"/>
            <w:bookmarkEnd w:id="0"/>
            <w:r>
              <w:rPr>
                <w:rFonts w:hint="eastAsia"/>
              </w:rPr>
              <w:t>岳伟超;钱晓亮;刘玉翠;李林伟;</w:t>
            </w:r>
          </w:p>
        </w:tc>
        <w:tc>
          <w:tcPr>
            <w:tcW w:w="1425" w:type="dxa"/>
            <w:shd w:val="clear"/>
            <w:vAlign w:val="center"/>
          </w:tcPr>
          <w:p w14:paraId="083B330A">
            <w:pPr>
              <w:spacing w:line="360" w:lineRule="auto"/>
              <w:rPr>
                <w:rFonts w:hint="eastAsia"/>
              </w:rPr>
            </w:pPr>
            <w:r>
              <w:rPr>
                <w:rFonts w:hint="eastAsia"/>
              </w:rPr>
              <w:t>长期使用权（10年）、所有权（学校10%，成果完成团队90%）</w:t>
            </w:r>
          </w:p>
          <w:p w14:paraId="1146D7F9">
            <w:pPr>
              <w:spacing w:line="360" w:lineRule="auto"/>
              <w:rPr>
                <w:rFonts w:hint="eastAsia"/>
              </w:rPr>
            </w:pPr>
          </w:p>
          <w:p w14:paraId="2A8491E4">
            <w:pPr>
              <w:spacing w:line="360" w:lineRule="auto"/>
              <w:rPr>
                <w:rFonts w:hint="eastAsia"/>
                <w:lang w:val="en-US" w:eastAsia="zh-CN"/>
              </w:rPr>
            </w:pPr>
          </w:p>
        </w:tc>
        <w:tc>
          <w:tcPr>
            <w:tcW w:w="1207" w:type="dxa"/>
            <w:shd w:val="clear"/>
            <w:vAlign w:val="center"/>
          </w:tcPr>
          <w:p w14:paraId="7CF1DDAE">
            <w:pPr>
              <w:spacing w:line="360" w:lineRule="auto"/>
              <w:rPr>
                <w:rFonts w:hint="eastAsia"/>
                <w:lang w:val="en-US" w:eastAsia="zh-CN"/>
              </w:rPr>
            </w:pPr>
            <w:r>
              <w:rPr>
                <w:rFonts w:hint="eastAsia"/>
              </w:rPr>
              <w:t>技术许可</w:t>
            </w:r>
          </w:p>
        </w:tc>
        <w:tc>
          <w:tcPr>
            <w:tcW w:w="1371" w:type="dxa"/>
            <w:shd w:val="clear"/>
            <w:vAlign w:val="center"/>
          </w:tcPr>
          <w:p w14:paraId="65D2596A">
            <w:pPr>
              <w:spacing w:line="360" w:lineRule="auto"/>
              <w:rPr>
                <w:rFonts w:hint="eastAsia"/>
                <w:lang w:val="en-US" w:eastAsia="zh-CN"/>
              </w:rPr>
            </w:pPr>
            <w:r>
              <w:rPr>
                <w:rFonts w:hint="eastAsia"/>
              </w:rPr>
              <w:t>3.05</w:t>
            </w:r>
          </w:p>
        </w:tc>
        <w:tc>
          <w:tcPr>
            <w:tcW w:w="1285" w:type="dxa"/>
            <w:shd w:val="clear"/>
            <w:vAlign w:val="center"/>
          </w:tcPr>
          <w:p w14:paraId="51BD256D">
            <w:pPr>
              <w:spacing w:line="360" w:lineRule="auto"/>
              <w:rPr>
                <w:rFonts w:hint="eastAsia"/>
                <w:lang w:val="en-US" w:eastAsia="zh-CN"/>
              </w:rPr>
            </w:pPr>
            <w:r>
              <w:rPr>
                <w:rFonts w:hint="eastAsia"/>
              </w:rPr>
              <w:t>河南美厚电子科技有限公司</w:t>
            </w:r>
          </w:p>
        </w:tc>
        <w:tc>
          <w:tcPr>
            <w:tcW w:w="786" w:type="dxa"/>
            <w:shd w:val="clear" w:color="auto" w:fill="auto"/>
            <w:vAlign w:val="center"/>
          </w:tcPr>
          <w:p w14:paraId="6051B258">
            <w:pPr>
              <w:spacing w:line="360" w:lineRule="auto"/>
              <w:rPr>
                <w:rFonts w:hint="eastAsia"/>
              </w:rPr>
            </w:pPr>
          </w:p>
        </w:tc>
      </w:tr>
      <w:tr w14:paraId="3BD24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9" w:hRule="atLeast"/>
        </w:trPr>
        <w:tc>
          <w:tcPr>
            <w:tcW w:w="544" w:type="dxa"/>
            <w:shd w:val="clear" w:color="auto" w:fill="auto"/>
            <w:vAlign w:val="center"/>
          </w:tcPr>
          <w:p w14:paraId="7371E969">
            <w:pPr>
              <w:snapToGrid w:val="0"/>
              <w:spacing w:line="340" w:lineRule="atLeast"/>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w:t>
            </w:r>
          </w:p>
        </w:tc>
        <w:tc>
          <w:tcPr>
            <w:tcW w:w="1691" w:type="dxa"/>
            <w:shd w:val="clear" w:color="auto" w:fill="auto"/>
            <w:vAlign w:val="center"/>
          </w:tcPr>
          <w:p w14:paraId="2C2ED25F">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eastAsia" w:ascii="宋体" w:hAnsi="宋体" w:eastAsia="宋体" w:cs="宋体"/>
                <w:snapToGrid w:val="0"/>
                <w:color w:val="000000"/>
                <w:spacing w:val="-4"/>
                <w:kern w:val="0"/>
                <w:sz w:val="21"/>
                <w:szCs w:val="21"/>
                <w:lang w:val="en-US" w:eastAsia="zh-CN" w:bidi="ar-SA"/>
              </w:rPr>
            </w:pPr>
            <w:r>
              <w:rPr>
                <w:rFonts w:hint="eastAsia" w:ascii="宋体" w:hAnsi="宋体" w:eastAsia="宋体" w:cs="宋体"/>
                <w:snapToGrid w:val="0"/>
                <w:color w:val="000000"/>
                <w:spacing w:val="-4"/>
                <w:kern w:val="0"/>
                <w:sz w:val="21"/>
                <w:szCs w:val="21"/>
                <w:lang w:val="en-US" w:eastAsia="zh-CN" w:bidi="ar-SA"/>
              </w:rPr>
              <w:t>一种建筑内火灾烟气信息可视化监测装置及方法</w:t>
            </w:r>
          </w:p>
        </w:tc>
        <w:tc>
          <w:tcPr>
            <w:tcW w:w="4110" w:type="dxa"/>
            <w:shd w:val="clear" w:color="auto" w:fill="auto"/>
            <w:vAlign w:val="center"/>
          </w:tcPr>
          <w:p w14:paraId="1FBAEE12">
            <w:pPr>
              <w:spacing w:line="360" w:lineRule="auto"/>
              <w:rPr>
                <w:rFonts w:hint="eastAsia"/>
                <w:lang w:val="en-US" w:eastAsia="zh-CN"/>
              </w:rPr>
            </w:pPr>
            <w:r>
              <w:rPr>
                <w:rFonts w:hint="eastAsia"/>
                <w:lang w:val="en-US" w:eastAsia="zh-CN"/>
              </w:rPr>
              <w:t>本发明依托布置在走廊内的激光探测条束和监控摄像机，实时感知火灾发生时烟气前沿位置，实现建筑内火灾烟气蔓延信息的可视化监测。</w:t>
            </w:r>
          </w:p>
        </w:tc>
        <w:tc>
          <w:tcPr>
            <w:tcW w:w="1418" w:type="dxa"/>
            <w:shd w:val="clear" w:color="auto" w:fill="auto"/>
            <w:vAlign w:val="center"/>
          </w:tcPr>
          <w:p w14:paraId="010CF4AB">
            <w:pPr>
              <w:spacing w:line="360" w:lineRule="auto"/>
              <w:rPr>
                <w:rFonts w:hint="eastAsia"/>
                <w:lang w:val="en-US" w:eastAsia="zh-CN"/>
              </w:rPr>
            </w:pPr>
            <w:r>
              <w:rPr>
                <w:rFonts w:hint="eastAsia"/>
                <w:lang w:val="en-US" w:eastAsia="zh-CN"/>
              </w:rPr>
              <w:t>李森;吴则琪;娄振;张单;秦恒洁;宋怀涛;王坤;何蕊</w:t>
            </w:r>
          </w:p>
        </w:tc>
        <w:tc>
          <w:tcPr>
            <w:tcW w:w="1425" w:type="dxa"/>
            <w:shd w:val="clear" w:color="auto" w:fill="auto"/>
            <w:vAlign w:val="center"/>
          </w:tcPr>
          <w:p w14:paraId="0CCB6F40">
            <w:pPr>
              <w:spacing w:line="360" w:lineRule="auto"/>
              <w:rPr>
                <w:rFonts w:hint="eastAsia"/>
                <w:lang w:val="en-US" w:eastAsia="zh-CN"/>
              </w:rPr>
            </w:pPr>
            <w:r>
              <w:rPr>
                <w:rFonts w:hint="eastAsia"/>
                <w:lang w:val="en-US" w:eastAsia="zh-CN"/>
              </w:rPr>
              <w:t>所有权（学校10%，成果完成团队90%）</w:t>
            </w:r>
          </w:p>
        </w:tc>
        <w:tc>
          <w:tcPr>
            <w:tcW w:w="1207" w:type="dxa"/>
            <w:shd w:val="clear" w:color="auto" w:fill="auto"/>
            <w:vAlign w:val="center"/>
          </w:tcPr>
          <w:p w14:paraId="5ED0AAD8">
            <w:pPr>
              <w:spacing w:line="360" w:lineRule="auto"/>
              <w:rPr>
                <w:rFonts w:hint="eastAsia"/>
                <w:lang w:val="en-US" w:eastAsia="zh-CN"/>
              </w:rPr>
            </w:pPr>
            <w:r>
              <w:rPr>
                <w:rFonts w:hint="eastAsia"/>
                <w:lang w:val="en-US" w:eastAsia="zh-CN"/>
              </w:rPr>
              <w:t>实施许可</w:t>
            </w:r>
          </w:p>
        </w:tc>
        <w:tc>
          <w:tcPr>
            <w:tcW w:w="1371" w:type="dxa"/>
            <w:shd w:val="clear" w:color="auto" w:fill="auto"/>
            <w:vAlign w:val="center"/>
          </w:tcPr>
          <w:p w14:paraId="7BEFDD3A">
            <w:pPr>
              <w:spacing w:line="360" w:lineRule="auto"/>
              <w:rPr>
                <w:rFonts w:hint="eastAsia"/>
                <w:lang w:val="en-US" w:eastAsia="zh-CN"/>
              </w:rPr>
            </w:pPr>
            <w:r>
              <w:rPr>
                <w:rFonts w:hint="eastAsia"/>
                <w:lang w:val="en-US" w:eastAsia="zh-CN"/>
              </w:rPr>
              <w:t>10</w:t>
            </w:r>
          </w:p>
        </w:tc>
        <w:tc>
          <w:tcPr>
            <w:tcW w:w="1285" w:type="dxa"/>
            <w:shd w:val="clear" w:color="auto" w:fill="auto"/>
            <w:vAlign w:val="center"/>
          </w:tcPr>
          <w:p w14:paraId="62FC162B">
            <w:pPr>
              <w:spacing w:line="360" w:lineRule="auto"/>
              <w:rPr>
                <w:rFonts w:hint="eastAsia"/>
                <w:lang w:val="en-US" w:eastAsia="zh-CN"/>
              </w:rPr>
            </w:pPr>
            <w:r>
              <w:rPr>
                <w:rFonts w:hint="eastAsia"/>
                <w:lang w:val="en-US" w:eastAsia="zh-CN"/>
              </w:rPr>
              <w:t>河南吉贝科技有限公司</w:t>
            </w:r>
          </w:p>
        </w:tc>
        <w:tc>
          <w:tcPr>
            <w:tcW w:w="786" w:type="dxa"/>
            <w:shd w:val="clear" w:color="auto" w:fill="auto"/>
            <w:vAlign w:val="center"/>
          </w:tcPr>
          <w:p w14:paraId="5DE1AD96">
            <w:pPr>
              <w:spacing w:line="360" w:lineRule="auto"/>
              <w:rPr>
                <w:rFonts w:hint="eastAsia"/>
              </w:rPr>
            </w:pPr>
          </w:p>
        </w:tc>
      </w:tr>
    </w:tbl>
    <w:p w14:paraId="2E3FB7CF"/>
    <w:p w14:paraId="0DABBE41"/>
    <w:p w14:paraId="10AE6B54"/>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Arial Unicode MS"/>
    <w:panose1 w:val="02010601030101010101"/>
    <w:charset w:val="86"/>
    <w:family w:val="auto"/>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Q1ZmM5M2NiYzViNjc4ZWU1ODNmMjFmYjE5YjlkNzIifQ=="/>
  </w:docVars>
  <w:rsids>
    <w:rsidRoot w:val="1308507D"/>
    <w:rsid w:val="00847BAB"/>
    <w:rsid w:val="00C75F57"/>
    <w:rsid w:val="00F338A5"/>
    <w:rsid w:val="0D837037"/>
    <w:rsid w:val="0F2B62DD"/>
    <w:rsid w:val="1308507D"/>
    <w:rsid w:val="415E2C8C"/>
    <w:rsid w:val="50D852D8"/>
    <w:rsid w:val="58406388"/>
    <w:rsid w:val="787023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6"/>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0"/>
    <w:rPr>
      <w:rFonts w:ascii="Calibri" w:hAnsi="Calibri"/>
      <w:kern w:val="2"/>
      <w:sz w:val="18"/>
      <w:szCs w:val="18"/>
    </w:rPr>
  </w:style>
  <w:style w:type="character" w:customStyle="1" w:styleId="7">
    <w:name w:val="页脚 字符"/>
    <w:basedOn w:val="5"/>
    <w:link w:val="2"/>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355</Words>
  <Characters>366</Characters>
  <Lines>3</Lines>
  <Paragraphs>1</Paragraphs>
  <TotalTime>4</TotalTime>
  <ScaleCrop>false</ScaleCrop>
  <LinksUpToDate>false</LinksUpToDate>
  <CharactersWithSpaces>436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2022-07-25T00:53:00Z</dcterms:created>
  <dc:creator>文档存本地丢失不负责</dc:creator>
  <cp:lastModifiedBy>鲍雅如</cp:lastModifiedBy>
  <cp:lastPrinted>2022-07-25T02:39:00Z</cp:lastPrinted>
  <dcterms:modified xsi:type="dcterms:W3CDTF">2026-10-30T02:07:53Z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04E34C3E7BF5406E98A6D3A2BBB78A85_13</vt:lpwstr>
  </property>
  <property fmtid="{D5CDD505-2E9C-101B-9397-08002B2CF9AE}" pid="4" name="KSOTemplateDocerSaveRecord">
    <vt:lpwstr>eyJoZGlkIjoiNjRiMWNhNzcyYTNmZTkwZTQxMjQ2NTA4NDVmOGU4OGYiLCJ1c2VySWQiOiIzMDA5MzIwNzcifQ==</vt:lpwstr>
  </property>
</Properties>
</file>