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F054E">
      <w:pPr>
        <w:widowControl/>
        <w:spacing w:after="200" w:line="600" w:lineRule="exact"/>
        <w:ind w:firstLine="640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郑州轻工业大学50周年校庆</w:t>
      </w:r>
    </w:p>
    <w:p w14:paraId="07A36E22">
      <w:pPr>
        <w:widowControl/>
        <w:spacing w:after="200" w:line="600" w:lineRule="exact"/>
        <w:ind w:firstLine="640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预算编制工作方案</w:t>
      </w:r>
    </w:p>
    <w:p w14:paraId="6D3779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为做好郑州轻工业大学50周年校庆各项活动经费的预算编制与管理工作，依据《中华人民共和国预算法》及其实施条例、《高等学校财务制度》（财教〔2022〕128号）《中共中央办公厅 国务院办公厅关于印发〈节庆活动管理办法（试行）〉的通知》（中办发〔2012〕18号）《教育部办公厅关于加强校庆管理的通知》（教办厅〔2006〕6号）以及《党政机关厉行节约反对浪费条例》等有关规定，结合学校50周年校庆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整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体方案要求，制定本方案。</w:t>
      </w:r>
    </w:p>
    <w:p w14:paraId="79E62F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黑体" w:hAnsi="黑体" w:eastAsia="黑体" w:cs="黑体"/>
          <w:kern w:val="0"/>
          <w:sz w:val="32"/>
          <w:szCs w:val="2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22"/>
          <w:lang w:eastAsia="zh-CN"/>
        </w:rPr>
        <w:t>一、成立工作专班</w:t>
      </w:r>
    </w:p>
    <w:p w14:paraId="23A12E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成立郑州轻工业大学50周年校庆预算编制工作专班，统筹负责校庆专项预算的编制、审核、批复、执行监控、调整、决算与审计等全过程管理工作。人员组成如下：</w:t>
      </w:r>
    </w:p>
    <w:p w14:paraId="6B797B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default" w:ascii="仿宋_GB2312" w:hAnsi="仿宋_GB2312" w:eastAsia="仿宋_GB2312" w:cs="Times New Roman"/>
          <w:kern w:val="0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组　长：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赵灿鑫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 xml:space="preserve"> 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李雪峰</w:t>
      </w:r>
    </w:p>
    <w:p w14:paraId="5C46F9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副组长：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元吉明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 xml:space="preserve"> 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安国菊</w:t>
      </w:r>
    </w:p>
    <w:p w14:paraId="0C6859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成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 xml:space="preserve">  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员：财务处、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审计处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相关人员，各专项工作组、各二级学院（部门）预算编报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工作人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员。</w:t>
      </w:r>
    </w:p>
    <w:p w14:paraId="50225D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黑体" w:hAnsi="黑体" w:eastAsia="黑体" w:cs="黑体"/>
          <w:kern w:val="0"/>
          <w:sz w:val="32"/>
          <w:szCs w:val="2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22"/>
          <w:lang w:eastAsia="zh-CN"/>
        </w:rPr>
        <w:t>二、主要任务</w:t>
      </w:r>
    </w:p>
    <w:p w14:paraId="64FED4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val="en-US" w:eastAsia="zh-CN"/>
        </w:rPr>
        <w:t>一）预算编制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原则</w:t>
      </w:r>
    </w:p>
    <w:p w14:paraId="5A1E32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1.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量入为出、收支平衡。以筹资工作实际进展和学校综合财力为依据，不编制赤字预算，严禁超出可支配资金规模安排支出；</w:t>
      </w:r>
    </w:p>
    <w:p w14:paraId="7CC2CC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2.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勤俭节约、精打细算。严格落实中央八项规定精神和“过紧日子”要求，从严控制活动规模、参会人数、经费标准，杜绝铺张浪费；</w:t>
      </w:r>
    </w:p>
    <w:p w14:paraId="10F057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3.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专款专用、专账管理。校庆专项经费单独核算、单独反映，严格按批复用途使用，不得挤占、挪用，不得与学校日常运行经费混同；</w:t>
      </w:r>
    </w:p>
    <w:p w14:paraId="7A3080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4.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归口管理、分级负责。各专项工作组、各二级单位对本单位预算的真实性、合规性、有效性负责，财务处归口管理、汇总平衡；</w:t>
      </w:r>
    </w:p>
    <w:p w14:paraId="124A2C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5.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全程监督、绩效导向。预算编制、执行、决算全过程接受审计监督，重大项目设定绩效目标，开展绩效评价。</w:t>
      </w:r>
    </w:p>
    <w:p w14:paraId="7EDF52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（二）预算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val="en-US" w:eastAsia="zh-CN"/>
        </w:rPr>
        <w:t>编制内容</w:t>
      </w:r>
    </w:p>
    <w:p w14:paraId="4212DC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val="en-US" w:eastAsia="zh-CN"/>
        </w:rPr>
        <w:t>1.校庆专项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eastAsia="zh-CN"/>
        </w:rPr>
        <w:t>收入预算。学校专项安排经费、校友捐赠收入、社会捐赠收入以及其他合规收入，所有收入全额纳入校庆专项预算统一管理，严格执行“收支两条线”；</w:t>
      </w:r>
    </w:p>
    <w:p w14:paraId="647998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val="en-US" w:eastAsia="zh-CN"/>
        </w:rPr>
        <w:t>2.校庆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eastAsia="zh-CN"/>
        </w:rPr>
        <w:t>分项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val="en-US" w:eastAsia="zh-CN"/>
        </w:rPr>
        <w:t>支出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eastAsia="zh-CN"/>
        </w:rPr>
        <w:t>预算。由各专项工作组、各二级单位根据所承担的校庆任务编报，主要包括：庆典大会经费、学术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val="en-US" w:eastAsia="zh-CN"/>
        </w:rPr>
        <w:t>交流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eastAsia="zh-CN"/>
        </w:rPr>
        <w:t>经费、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val="en-US" w:eastAsia="zh-CN"/>
        </w:rPr>
        <w:t>文体活动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eastAsia="zh-CN"/>
        </w:rPr>
        <w:t>经费、宣传物料经费、接待经费、志愿者经费、安保与后勤保障经费、校友活动经费、办公与通讯经费等；</w:t>
      </w:r>
    </w:p>
    <w:p w14:paraId="40407A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default" w:ascii="仿宋_GB2312" w:hAnsi="仿宋_GB2312" w:eastAsia="仿宋_GB2312" w:cs="Times New Roman"/>
          <w:kern w:val="0"/>
          <w:sz w:val="32"/>
          <w:szCs w:val="22"/>
          <w:highlight w:val="none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eastAsia="zh-CN"/>
        </w:rPr>
        <w:t>.由财务处汇总编制《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eastAsia="zh-CN"/>
        </w:rPr>
        <w:t>0周年校庆专项经费总预算》，报校庆筹备委员会审定。</w:t>
      </w:r>
    </w:p>
    <w:p w14:paraId="311DB8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（三）预算编制流程</w:t>
      </w:r>
    </w:p>
    <w:p w14:paraId="264869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校庆专项预算编制实行“二上二下”程序。</w:t>
      </w:r>
    </w:p>
    <w:p w14:paraId="46A67F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“一上”：各专项工作组、各二级单位根据所承担的校庆任务，填写《50周年校庆专项经费预算申报表》《50周年校庆项目绩效目标申报表》，附活动方案、测算依据、合同或报价单等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相关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支撑材料，报校庆预算编制工作专班；</w:t>
      </w:r>
    </w:p>
    <w:p w14:paraId="3DEF57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“一下”：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校庆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预算编制工作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专班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对申报项目进行初审，结合筹资进展和学校财力，核定各分项预算控制数，反馈至各申报单位；</w:t>
      </w:r>
    </w:p>
    <w:p w14:paraId="068526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“二上”：各申报单位根据下达的预算控制数，细化调整支出明细，完善绩效目标，再次报送正式预算草案；</w:t>
      </w:r>
    </w:p>
    <w:p w14:paraId="411820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“二下”：预算编制工作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专班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汇总形成《50周年校庆专项经费总预算（草案）》，提交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eastAsia="zh-CN"/>
        </w:rPr>
        <w:t>校庆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val="en-US" w:eastAsia="zh-CN"/>
        </w:rPr>
        <w:t>筹备委员会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审定；审定后由财务处正式批复下达各分项预算，各申报单位严格按批复执行。</w:t>
      </w:r>
    </w:p>
    <w:p w14:paraId="2F29C4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（四）预算审核与批复</w:t>
      </w:r>
    </w:p>
    <w:p w14:paraId="3C4EAE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预算编制工作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专班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对各申报单位报送的预算草案进行合规性、合理性、真实性审核，重点审核以下内容：</w:t>
      </w:r>
    </w:p>
    <w:p w14:paraId="190904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1.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开支范围合规性。是否符合《高等学校财务制度》《中央和国家机关会议费管理办法》等规定的开支范围，是否存在与校庆无关的支出；</w:t>
      </w:r>
    </w:p>
    <w:p w14:paraId="1891D9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2.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开支标准合理性。是否符合国家和学校规定的开支标准，是否执行综合定额标准，是否存在超标准列支；</w:t>
      </w:r>
    </w:p>
    <w:p w14:paraId="2D4674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3.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测算依据充分性。是否附有活动方案、参会人数、天数、报价单、合同等支撑材料，测算过程是否清晰可复核；</w:t>
      </w:r>
    </w:p>
    <w:p w14:paraId="54FE91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4.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资金来源对应性。是否与筹资方案确定的资金来源相匹配，是否存在“先花钱、后找钱”的资金缺口；</w:t>
      </w:r>
    </w:p>
    <w:p w14:paraId="4AF693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5.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重复列支排查。是否存在同一支出在不同分项预算中重复申报的情况。</w:t>
      </w:r>
    </w:p>
    <w:p w14:paraId="16C4B3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审核通过的预算草案提交校庆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筹备委员会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审定；审核中发现问题的，退回申报单位修改完善后重新报送。</w:t>
      </w:r>
    </w:p>
    <w:p w14:paraId="1A2DF3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（五）预算执行与控制</w:t>
      </w:r>
    </w:p>
    <w:p w14:paraId="23C1C2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各申报单位作为预算执行责任主体，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须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严格按批复的预算、用途、标准执行。</w:t>
      </w:r>
    </w:p>
    <w:p w14:paraId="2298A5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1.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严格执行“先有预算、后有支出”原则，严禁无预算、超预算安排支出，严禁突击花钱；</w:t>
      </w:r>
    </w:p>
    <w:p w14:paraId="7D7FED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2.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规范支出审批，建立分级审批制度。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eastAsia="zh-CN"/>
        </w:rPr>
        <w:t>单次支出2万元以下由各专项工作组组长审批；单次支出2万元—20万元由资金筹措组组长审批；单次支出20万元（含）以上报校庆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val="en-US" w:eastAsia="zh-CN"/>
        </w:rPr>
        <w:t>筹委会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highlight w:val="none"/>
          <w:lang w:eastAsia="zh-CN"/>
        </w:rPr>
        <w:t>审议批准；</w:t>
      </w:r>
    </w:p>
    <w:p w14:paraId="7B40F3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3.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严格报销审核，报销时须提供预算批复文件、活动审批文件、活动通知、实际参会（参加）人员签到表、合法票据、费用原始明细单据等凭证。财务处对超范围、超标准、超预算的支出不予报销；</w:t>
      </w:r>
    </w:p>
    <w:p w14:paraId="5502FF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4.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财务处每月对各分项预算执行情况进行统计分析，定期向校庆工作领导小组报告；对执行进度缓慢的单位发放督办函，必要时约谈单位负责人；</w:t>
      </w:r>
    </w:p>
    <w:p w14:paraId="02239B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5.严格履行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大额支出集体决策程序，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凡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涉及“三重一大”事项的大额支出，须履行集体决策程序，不得个人决定。</w:t>
      </w:r>
    </w:p>
    <w:p w14:paraId="69D0C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（六）预算调整程序</w:t>
      </w:r>
    </w:p>
    <w:p w14:paraId="1410E5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校庆预算在执行过程中原则上不予调整。各分项预算之间不得自行调剂使用；确因活动内容变更、参会人数调整等原因需要调剂的，须由申报单位书面提出申请，说明理由和金额，报资金筹措组审核；单项调剂金额5万元以下由资金筹措组组长审批；单项调剂金额5万元（含）以上或累计调剂金额超过本单位年度预算10%的，报校庆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筹委会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审定；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因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校庆日程变更、活动规模重大调整引起预算重大变化的，报校庆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筹委会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审定后，按规定报学校主管部门备案。</w:t>
      </w:r>
    </w:p>
    <w:p w14:paraId="0BCD0E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（七）决算与审计</w:t>
      </w:r>
    </w:p>
    <w:p w14:paraId="3F9611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校庆活动结束后一个月内，各申报单位向资金筹措组报送本单位分项决算；资金筹措组汇总编制《50周年校庆专项经费决算报告》，提交校庆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筹备委员会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审定；</w:t>
      </w:r>
    </w:p>
    <w:p w14:paraId="042DB2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审计处对校庆经费的筹集、使用和管理情况实行全过程跟踪审计，重点监督是否存在超预算支出、超标准列支、截留挪用、设立“小金库”等问题，并出具专项审计报告；</w:t>
      </w:r>
    </w:p>
    <w:p w14:paraId="6D5544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对重大项目开展绩效自评和重点评价，评价结果作为今后类似活动预算安排的重要参考；</w:t>
      </w:r>
    </w:p>
    <w:p w14:paraId="09FD47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校庆结束后三个月内，形成《50周年校庆专项经费管理与使用情况报告》，经校庆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筹备委员会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审定后向全校公布，并按规定报学校主管部门备案。</w:t>
      </w:r>
    </w:p>
    <w:p w14:paraId="585981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黑体" w:hAnsi="黑体" w:eastAsia="黑体" w:cs="黑体"/>
          <w:kern w:val="0"/>
          <w:sz w:val="32"/>
          <w:szCs w:val="2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22"/>
          <w:lang w:eastAsia="zh-CN"/>
        </w:rPr>
        <w:t>三、工作进度安排</w:t>
      </w:r>
    </w:p>
    <w:p w14:paraId="6DAB36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（一）筹备阶段（2026年9月—12月）</w:t>
      </w:r>
    </w:p>
    <w:p w14:paraId="462FF6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完成预算编制工作组专班组建，印发本工作方案；印发《关于编报50周年校庆专项经费预算的通知》，明确编报范围、口径、标准和时限；组织开展预算编报业务培训；完成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预算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“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两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上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两下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”，按程序将校庆总体方案（含预算方案）报学校主管部门备案。</w:t>
      </w:r>
    </w:p>
    <w:p w14:paraId="00FAB7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（二）实施阶段（2027年1月—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月）</w:t>
      </w:r>
    </w:p>
    <w:p w14:paraId="02EB33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各申报单位按批复预算启动各项筹备支出；财务处按月监控预算执行进度，编报《校庆预算执行月报》；对执行进度缓慢的单位发放督办函；配合审计处开展阶段性跟踪审计；根据实际需要按规定程序办理少量预算调剂事项。</w:t>
      </w:r>
    </w:p>
    <w:p w14:paraId="7D31B4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（三）倒计时阶段（2027年4月—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月）</w:t>
      </w:r>
    </w:p>
    <w:p w14:paraId="4A7850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各申报单位按批复预算完成宣传物料印制、场地租赁、设备购置、嘉宾邀请等各项前置性支出；财务处加强大额支出审核，严把开支标准关；完成主要分项预算执行情况中期检查；对确需调剂的预算事项，按程序完成审批。</w:t>
      </w:r>
    </w:p>
    <w:p w14:paraId="57208D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（四）庆典阶段（2027年6月）</w:t>
      </w:r>
    </w:p>
    <w:p w14:paraId="4F5110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做好庆典大会、学术论坛、文艺晚会、捐赠仪式等各项活动经费的现场保障和集中支出工作；严格执行分级审批制度，各申报单位完成本单位分项支出的报销和账务处理，财务处完成庆典期间支出汇总。</w:t>
      </w:r>
    </w:p>
    <w:p w14:paraId="7DBE05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（五）总结阶段（2027年7月）</w:t>
      </w:r>
    </w:p>
    <w:p w14:paraId="545C27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完成全部分项支出的报销、账务处理和资产入账手续；各申报单位报送分项决算；审计处出具校庆经费专项审计报告；财务处编制《50周年校庆专项经费决算报告》和《50周年校庆专项经费管理与使用情况报告》；提交校庆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val="en-US" w:eastAsia="zh-CN"/>
        </w:rPr>
        <w:t>筹备委员会</w:t>
      </w: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审定后向全校公布，并按规定报学校主管部门备案；对结余资金按学校有关规定办理清理收回。</w:t>
      </w:r>
    </w:p>
    <w:p w14:paraId="35812F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黑体" w:hAnsi="黑体" w:eastAsia="黑体" w:cs="黑体"/>
          <w:kern w:val="0"/>
          <w:sz w:val="32"/>
          <w:szCs w:val="2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22"/>
          <w:lang w:eastAsia="zh-CN"/>
        </w:rPr>
        <w:t>四、工作要求</w:t>
      </w:r>
    </w:p>
    <w:p w14:paraId="0172C5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（一）坚持量入为出，严禁超预算支出</w:t>
      </w:r>
    </w:p>
    <w:p w14:paraId="6548C5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严格执行“先有预算、后有支出”原则，各分项预算一经批复，即具有约束力，任何单位和个人不得超预算、超范围、超标准安排支出；确需调整的，严格履行审批程序。</w:t>
      </w:r>
    </w:p>
    <w:p w14:paraId="4E12CD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（二）严守财经纪律，规范经费使用</w:t>
      </w:r>
    </w:p>
    <w:p w14:paraId="4FFBA7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严格落实中央八项规定及其实施细则精神，严格执行校庆工作“八个严禁”和会议费有关规定，严禁铺张浪费、变相摊派、突击花钱等行为。财务处将严把预算审核和支出报销关口，对经费使用实行全过程监督，对违规违纪行为严肃追责问责，确保校庆活动简约务实、廉洁节俭。</w:t>
      </w:r>
      <w:bookmarkStart w:id="0" w:name="_GoBack"/>
      <w:bookmarkEnd w:id="0"/>
    </w:p>
    <w:p w14:paraId="17EC85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（三）强化监督审计，确保公开透明</w:t>
      </w:r>
    </w:p>
    <w:p w14:paraId="2A9CF8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审计处对校庆经费的筹集、使用和管理情况实行全过程跟踪审计；财务处、审计处定期开展专项检查；校庆经费预决算信息按规定在一定范围内公开，主动接受师生、校友以及纪检监察、审计、财政等部门的监督。</w:t>
      </w:r>
    </w:p>
    <w:p w14:paraId="7100DA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22"/>
          <w:lang w:eastAsia="zh-CN"/>
        </w:rPr>
        <w:t>（四）压实主体责任，严肃执纪问责</w:t>
      </w:r>
    </w:p>
    <w:p w14:paraId="074E28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t>各专项工作组组长、各二级单位主要负责人为本单位预算编制和执行的第一责任人，对本单位预算的完整性、规范性、真实性以及执行结果负责。资金筹措组各成员单位要密切协作、通力配合，共同做好预算管理各环节工作。对在预算编制和执行中出现的违规违纪问题，一经查实，依法依规严肃追责问责；涉嫌违法的，移送司法机关处理。</w:t>
      </w:r>
    </w:p>
    <w:p w14:paraId="6AB631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65FC36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5CF6CD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237EF9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7C19BB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13E76F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69027B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4E5336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58400B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427FD9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502C9D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607F8D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sectPr>
          <w:pgSz w:w="11906" w:h="16838"/>
          <w:pgMar w:top="1701" w:right="1417" w:bottom="1814" w:left="1587" w:header="851" w:footer="992" w:gutter="0"/>
          <w:cols w:space="425" w:num="1"/>
          <w:docGrid w:type="lines" w:linePitch="312" w:charSpace="0"/>
        </w:sectPr>
      </w:pPr>
    </w:p>
    <w:p w14:paraId="49DCA5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黑体" w:hAnsi="黑体" w:eastAsia="黑体" w:cs="黑体"/>
          <w:kern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2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22"/>
          <w:lang w:val="en-US" w:eastAsia="zh-CN"/>
        </w:rPr>
        <w:t>1：</w:t>
      </w:r>
    </w:p>
    <w:p w14:paraId="23354F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  <w:t>郑州轻工业大学50周年校庆专项预算申报明细表（样表）</w:t>
      </w:r>
    </w:p>
    <w:p w14:paraId="1D7AA9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黑体" w:hAnsi="黑体" w:eastAsia="黑体" w:cs="黑体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/>
        </w:rPr>
        <w:t>申报单位：xx专项工作组                     项目负责人：xxx                      联系电话：</w:t>
      </w:r>
    </w:p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731"/>
        <w:gridCol w:w="2416"/>
        <w:gridCol w:w="2256"/>
        <w:gridCol w:w="1013"/>
        <w:gridCol w:w="1181"/>
        <w:gridCol w:w="1293"/>
        <w:gridCol w:w="1637"/>
        <w:gridCol w:w="1269"/>
      </w:tblGrid>
      <w:tr w14:paraId="1861E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预算总额：</w:t>
            </w:r>
          </w:p>
        </w:tc>
        <w:tc>
          <w:tcPr>
            <w:tcW w:w="407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88A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8D6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6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50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资金来源构成：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63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校庆专项（学校自筹）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30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校友捐赠</w:t>
            </w:r>
          </w:p>
        </w:tc>
        <w:tc>
          <w:tcPr>
            <w:tcW w:w="13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6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社会赞助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60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5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合 </w:t>
            </w:r>
            <w:r>
              <w:rPr>
                <w:rStyle w:val="5"/>
                <w:lang w:val="en-US" w:eastAsia="zh-CN" w:bidi="ar"/>
              </w:rPr>
              <w:t xml:space="preserve"> 计</w:t>
            </w:r>
          </w:p>
        </w:tc>
      </w:tr>
      <w:tr w14:paraId="20455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6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9FCF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C2A92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A5DE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D92F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A79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0486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8E3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59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E5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支出类别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7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支出内容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AB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测算依据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D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6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 （元）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73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总额   （万元）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A8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资金渠道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1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A5D2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6D00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79CE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C108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FBD8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8D6B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C184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9093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F39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FDE0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BC0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F804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2FA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05E1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A6B1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E6F6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04A3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D6CC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2902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0C87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EC2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3EEE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6B9F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0084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69F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CBA3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501C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11EB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BFFD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47B9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ECC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EF4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60D4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FB2B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2E08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1BC8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1439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3942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CB4F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57ED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9215D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1"/>
        <w:jc w:val="both"/>
        <w:textAlignment w:val="auto"/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  <w:t>填报说明：</w:t>
      </w:r>
    </w:p>
    <w:p w14:paraId="694A30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1"/>
        <w:jc w:val="both"/>
        <w:textAlignment w:val="auto"/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  <w:t>本表由各专项工作组、各二级单位填报，经集体研究后报资金筹措组（财务处）；</w:t>
      </w:r>
    </w:p>
    <w:p w14:paraId="40E6A0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1"/>
        <w:jc w:val="both"/>
        <w:textAlignment w:val="auto"/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  <w:t>经费来源须对应筹资方案确定的资金渠道，明确“校庆专项经费（</w:t>
      </w:r>
      <w:r>
        <w:rPr>
          <w:rFonts w:hint="eastAsia" w:ascii="仿宋_GB2312" w:hAnsi="仿宋_GB2312" w:eastAsia="仿宋_GB2312" w:cs="Times New Roman"/>
          <w:kern w:val="0"/>
          <w:sz w:val="24"/>
          <w:szCs w:val="24"/>
          <w:lang w:val="en-US" w:eastAsia="zh-CN"/>
        </w:rPr>
        <w:t>学校自筹）</w:t>
      </w:r>
      <w:r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  <w:t>”“</w:t>
      </w:r>
      <w:r>
        <w:rPr>
          <w:rFonts w:hint="eastAsia" w:ascii="仿宋_GB2312" w:hAnsi="仿宋_GB2312" w:eastAsia="仿宋_GB2312" w:cs="Times New Roman"/>
          <w:kern w:val="0"/>
          <w:sz w:val="24"/>
          <w:szCs w:val="24"/>
          <w:lang w:val="en-US" w:eastAsia="zh-CN"/>
        </w:rPr>
        <w:t>校友</w:t>
      </w:r>
      <w:r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  <w:t>捐赠”“</w:t>
      </w:r>
      <w:r>
        <w:rPr>
          <w:rFonts w:hint="eastAsia" w:ascii="仿宋_GB2312" w:hAnsi="仿宋_GB2312" w:eastAsia="仿宋_GB2312" w:cs="Times New Roman"/>
          <w:kern w:val="0"/>
          <w:sz w:val="24"/>
          <w:szCs w:val="24"/>
          <w:lang w:val="en-US" w:eastAsia="zh-CN"/>
        </w:rPr>
        <w:t>社会赞助”</w:t>
      </w:r>
      <w:r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  <w:t>，严禁使用财政性资金；</w:t>
      </w:r>
    </w:p>
    <w:p w14:paraId="77259D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1"/>
        <w:jc w:val="both"/>
        <w:textAlignment w:val="auto"/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24"/>
          <w:szCs w:val="24"/>
          <w:lang w:val="en-US" w:eastAsia="zh-CN"/>
        </w:rPr>
        <w:t>3.</w:t>
      </w:r>
      <w:r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  <w:t>支出测算依据须附活动方案、参会（参加）人数、天数、报价单、合同等支撑材料；</w:t>
      </w:r>
    </w:p>
    <w:p w14:paraId="311290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1"/>
        <w:jc w:val="both"/>
        <w:textAlignment w:val="auto"/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24"/>
          <w:szCs w:val="24"/>
          <w:lang w:val="en-US" w:eastAsia="zh-CN"/>
        </w:rPr>
        <w:t>4.</w:t>
      </w:r>
      <w:r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  <w:t>绩效目标</w:t>
      </w:r>
      <w:r>
        <w:rPr>
          <w:rFonts w:hint="eastAsia" w:ascii="仿宋_GB2312" w:hAnsi="仿宋_GB2312" w:eastAsia="仿宋_GB2312" w:cs="Times New Roman"/>
          <w:kern w:val="0"/>
          <w:sz w:val="24"/>
          <w:szCs w:val="24"/>
          <w:lang w:val="en-US" w:eastAsia="zh-CN"/>
        </w:rPr>
        <w:t>表随预算一并报送，绩效目标</w:t>
      </w:r>
      <w:r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  <w:t>须明确、可衡量，作为预算审核和绩效评价的重要依据；</w:t>
      </w:r>
    </w:p>
    <w:p w14:paraId="1D40F1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1"/>
        <w:jc w:val="both"/>
        <w:textAlignment w:val="auto"/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Times New Roman"/>
          <w:kern w:val="0"/>
          <w:sz w:val="24"/>
          <w:szCs w:val="24"/>
          <w:lang w:val="en-US" w:eastAsia="zh-CN"/>
        </w:rPr>
        <w:t>5.</w:t>
      </w:r>
      <w:r>
        <w:rPr>
          <w:rFonts w:hint="eastAsia" w:ascii="仿宋_GB2312" w:hAnsi="仿宋_GB2312" w:eastAsia="仿宋_GB2312" w:cs="Times New Roman"/>
          <w:kern w:val="0"/>
          <w:sz w:val="24"/>
          <w:szCs w:val="24"/>
          <w:lang w:eastAsia="zh-CN"/>
        </w:rPr>
        <w:t>会议费、差旅费严格执行国家和学校综合定额标准，超标准支出不予安排。</w:t>
      </w:r>
    </w:p>
    <w:p w14:paraId="4F60D6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sectPr>
          <w:pgSz w:w="16838" w:h="11906" w:orient="landscape"/>
          <w:pgMar w:top="1587" w:right="1701" w:bottom="1417" w:left="1814" w:header="851" w:footer="992" w:gutter="0"/>
          <w:cols w:space="425" w:num="1"/>
          <w:docGrid w:type="lines" w:linePitch="312" w:charSpace="0"/>
        </w:sectPr>
      </w:pPr>
    </w:p>
    <w:p w14:paraId="3A2D39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default" w:ascii="黑体" w:hAnsi="黑体" w:eastAsia="黑体" w:cs="黑体"/>
          <w:kern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22"/>
          <w:lang w:val="en-US" w:eastAsia="zh-CN"/>
        </w:rPr>
        <w:t>附件2：</w:t>
      </w:r>
    </w:p>
    <w:p w14:paraId="0E3F62A7">
      <w:pPr>
        <w:widowControl/>
        <w:spacing w:after="200" w:line="600" w:lineRule="exact"/>
        <w:ind w:firstLine="640"/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  <w:t>郑州轻工业大学50周年校庆XX专项经费预算绩效目标表（样表）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1947"/>
        <w:gridCol w:w="1270"/>
        <w:gridCol w:w="2459"/>
        <w:gridCol w:w="1308"/>
        <w:gridCol w:w="745"/>
        <w:gridCol w:w="563"/>
        <w:gridCol w:w="1308"/>
        <w:gridCol w:w="1308"/>
        <w:gridCol w:w="1357"/>
      </w:tblGrid>
      <w:tr w14:paraId="4C7EA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7D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项目名称：</w:t>
            </w:r>
          </w:p>
        </w:tc>
      </w:tr>
      <w:tr w14:paraId="672B1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5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61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项目实施单位：</w:t>
            </w:r>
          </w:p>
        </w:tc>
        <w:tc>
          <w:tcPr>
            <w:tcW w:w="166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69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负责人：</w:t>
            </w:r>
          </w:p>
        </w:tc>
        <w:tc>
          <w:tcPr>
            <w:tcW w:w="167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A0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</w:t>
            </w:r>
          </w:p>
        </w:tc>
      </w:tr>
      <w:tr w14:paraId="2BBA9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7085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总体目标：</w:t>
            </w:r>
          </w:p>
        </w:tc>
      </w:tr>
      <w:tr w14:paraId="380D1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D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2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D3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A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指标值类型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DF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3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A1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指标值说明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92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7F708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8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E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F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31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PingFang SC" w:hAnsi="PingFang SC" w:eastAsia="PingFang SC" w:cs="PingFang SC"/>
                <w:i w:val="0"/>
                <w:iCs w:val="0"/>
                <w:color w:val="1A2029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426A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B1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3377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C9C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263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F4EB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B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社会成本指标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238A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B343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2297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63A2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B93B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F249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3E1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3011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13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生态环境成本指标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652E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4906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E74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44A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B375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B3A2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283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8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A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7D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82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BE8E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24F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98D5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7A7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F6AE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4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8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4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FE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C72A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4367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B8F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2382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1D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4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F7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4A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C32F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E886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2CB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7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D4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3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5C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387E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F5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FE2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ED28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815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E023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2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FB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D5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6EC9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9F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B51B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2394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A3B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7895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F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10A3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FFE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F7BF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4931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82CF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EE06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F3B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F3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A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6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132D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7D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29BB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F78B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25EA56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黑体" w:hAnsi="黑体" w:eastAsia="黑体" w:cs="黑体"/>
          <w:kern w:val="0"/>
          <w:sz w:val="32"/>
          <w:szCs w:val="22"/>
          <w:lang w:eastAsia="zh-CN"/>
        </w:rPr>
      </w:pPr>
    </w:p>
    <w:p w14:paraId="3F1102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rPr>
          <w:rFonts w:hint="default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  <w:t>附件3：</w:t>
      </w:r>
    </w:p>
    <w:p w14:paraId="31A7F2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eastAsia="zh-CN"/>
        </w:rPr>
        <w:t>郑州轻工业大学50周年校庆专项经费预算</w:t>
      </w: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  <w:t>申报汇总表</w:t>
      </w: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  <w:t>样表</w:t>
      </w: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eastAsia="zh-CN"/>
        </w:rPr>
        <w:t>）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191"/>
        <w:gridCol w:w="1504"/>
        <w:gridCol w:w="1504"/>
        <w:gridCol w:w="1504"/>
        <w:gridCol w:w="1504"/>
        <w:gridCol w:w="1504"/>
        <w:gridCol w:w="1504"/>
        <w:gridCol w:w="1504"/>
      </w:tblGrid>
      <w:tr w14:paraId="0F22A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36B73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09" w:type="pct"/>
            <w:vAlign w:val="center"/>
          </w:tcPr>
          <w:p w14:paraId="4E1DA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55" w:type="pct"/>
            <w:vAlign w:val="center"/>
          </w:tcPr>
          <w:p w14:paraId="26D47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预算申报单位</w:t>
            </w:r>
          </w:p>
        </w:tc>
        <w:tc>
          <w:tcPr>
            <w:tcW w:w="555" w:type="pct"/>
            <w:vAlign w:val="center"/>
          </w:tcPr>
          <w:p w14:paraId="52A01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经费来源</w:t>
            </w:r>
          </w:p>
        </w:tc>
        <w:tc>
          <w:tcPr>
            <w:tcW w:w="555" w:type="pct"/>
            <w:vAlign w:val="center"/>
          </w:tcPr>
          <w:p w14:paraId="70304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预算金额（万元）</w:t>
            </w:r>
          </w:p>
        </w:tc>
        <w:tc>
          <w:tcPr>
            <w:tcW w:w="555" w:type="pct"/>
            <w:vAlign w:val="center"/>
          </w:tcPr>
          <w:p w14:paraId="6CB87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支出内容</w:t>
            </w:r>
          </w:p>
        </w:tc>
        <w:tc>
          <w:tcPr>
            <w:tcW w:w="555" w:type="pct"/>
            <w:vAlign w:val="center"/>
          </w:tcPr>
          <w:p w14:paraId="3969D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测算依据</w:t>
            </w:r>
          </w:p>
        </w:tc>
        <w:tc>
          <w:tcPr>
            <w:tcW w:w="555" w:type="pct"/>
            <w:vAlign w:val="center"/>
          </w:tcPr>
          <w:p w14:paraId="149B5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555" w:type="pct"/>
            <w:vAlign w:val="center"/>
          </w:tcPr>
          <w:p w14:paraId="6812C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</w:tr>
      <w:tr w14:paraId="5762E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26363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09" w:type="pct"/>
            <w:vAlign w:val="center"/>
          </w:tcPr>
          <w:p w14:paraId="340D8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041CE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58E64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5545B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09921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169F0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680BC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AC92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7E9A3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3C0FB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09" w:type="pct"/>
            <w:vAlign w:val="center"/>
          </w:tcPr>
          <w:p w14:paraId="41187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14135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257A6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12625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0FAEB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7C5D1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0A210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7434C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4B425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4FD9B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09" w:type="pct"/>
            <w:vAlign w:val="center"/>
          </w:tcPr>
          <w:p w14:paraId="28F0A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1D812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3D7BD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37A6A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76D3C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66EF5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10587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38B62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1F544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33F72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09" w:type="pct"/>
            <w:vAlign w:val="center"/>
          </w:tcPr>
          <w:p w14:paraId="3F78E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43F14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2E952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46AF6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60A1E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4FDB2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61E73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19033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 w14:paraId="1FC2E0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黑体" w:hAnsi="黑体" w:eastAsia="黑体" w:cs="黑体"/>
          <w:kern w:val="0"/>
          <w:sz w:val="32"/>
          <w:szCs w:val="22"/>
          <w:lang w:eastAsia="zh-CN"/>
        </w:rPr>
      </w:pPr>
    </w:p>
    <w:p w14:paraId="137995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黑体" w:hAnsi="黑体" w:eastAsia="黑体" w:cs="黑体"/>
          <w:kern w:val="0"/>
          <w:sz w:val="32"/>
          <w:szCs w:val="22"/>
          <w:lang w:eastAsia="zh-CN"/>
        </w:rPr>
      </w:pPr>
    </w:p>
    <w:p w14:paraId="0C23ED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黑体" w:hAnsi="黑体" w:eastAsia="黑体" w:cs="黑体"/>
          <w:kern w:val="0"/>
          <w:sz w:val="32"/>
          <w:szCs w:val="22"/>
          <w:lang w:eastAsia="zh-CN"/>
        </w:rPr>
      </w:pPr>
    </w:p>
    <w:p w14:paraId="3F9BB7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黑体" w:hAnsi="黑体" w:eastAsia="黑体" w:cs="黑体"/>
          <w:kern w:val="0"/>
          <w:sz w:val="32"/>
          <w:szCs w:val="22"/>
          <w:lang w:eastAsia="zh-CN"/>
        </w:rPr>
      </w:pPr>
    </w:p>
    <w:p w14:paraId="61B8E1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黑体" w:hAnsi="黑体" w:eastAsia="黑体" w:cs="黑体"/>
          <w:kern w:val="0"/>
          <w:sz w:val="32"/>
          <w:szCs w:val="22"/>
          <w:lang w:eastAsia="zh-CN"/>
        </w:rPr>
      </w:pPr>
    </w:p>
    <w:p w14:paraId="7DDC1B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黑体" w:hAnsi="黑体" w:eastAsia="黑体" w:cs="黑体"/>
          <w:kern w:val="0"/>
          <w:sz w:val="32"/>
          <w:szCs w:val="22"/>
          <w:lang w:eastAsia="zh-CN"/>
        </w:rPr>
      </w:pPr>
    </w:p>
    <w:p w14:paraId="3AB1BB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黑体" w:hAnsi="黑体" w:eastAsia="黑体" w:cs="黑体"/>
          <w:kern w:val="0"/>
          <w:sz w:val="32"/>
          <w:szCs w:val="22"/>
          <w:lang w:eastAsia="zh-CN"/>
        </w:rPr>
      </w:pPr>
    </w:p>
    <w:p w14:paraId="290295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黑体" w:hAnsi="黑体" w:eastAsia="黑体" w:cs="黑体"/>
          <w:kern w:val="0"/>
          <w:sz w:val="32"/>
          <w:szCs w:val="22"/>
          <w:lang w:eastAsia="zh-CN"/>
        </w:rPr>
      </w:pPr>
    </w:p>
    <w:p w14:paraId="451D85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黑体" w:hAnsi="黑体" w:eastAsia="黑体" w:cs="黑体"/>
          <w:kern w:val="0"/>
          <w:sz w:val="32"/>
          <w:szCs w:val="22"/>
          <w:lang w:eastAsia="zh-CN"/>
        </w:rPr>
      </w:pPr>
    </w:p>
    <w:p w14:paraId="115477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黑体" w:hAnsi="黑体" w:eastAsia="黑体" w:cs="黑体"/>
          <w:kern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2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22"/>
          <w:lang w:val="en-US" w:eastAsia="zh-CN"/>
        </w:rPr>
        <w:t>4：</w:t>
      </w:r>
    </w:p>
    <w:p w14:paraId="776169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  <w:t>郑州轻工业大学50周年校庆专项预算申报明细表（示例）</w:t>
      </w:r>
    </w:p>
    <w:p w14:paraId="505F09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kern w:val="0"/>
          <w:sz w:val="24"/>
          <w:szCs w:val="24"/>
          <w:lang w:val="en-US" w:eastAsia="zh-CN"/>
        </w:rPr>
        <w:t>申报单位：xx专项工作组                     项目负责人：xxx                      联系电话：</w:t>
      </w:r>
    </w:p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731"/>
        <w:gridCol w:w="2416"/>
        <w:gridCol w:w="2256"/>
        <w:gridCol w:w="1013"/>
        <w:gridCol w:w="1181"/>
        <w:gridCol w:w="1293"/>
        <w:gridCol w:w="1637"/>
        <w:gridCol w:w="1269"/>
      </w:tblGrid>
      <w:tr w14:paraId="511A9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2C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预算总额：</w:t>
            </w:r>
          </w:p>
        </w:tc>
        <w:tc>
          <w:tcPr>
            <w:tcW w:w="407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5A1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4E6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6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4D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资金来源构成：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663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校庆专项（学校自筹）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64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校友捐赠</w:t>
            </w:r>
          </w:p>
        </w:tc>
        <w:tc>
          <w:tcPr>
            <w:tcW w:w="13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92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社会赞助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BB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3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合 </w:t>
            </w:r>
            <w:r>
              <w:rPr>
                <w:rStyle w:val="5"/>
                <w:lang w:val="en-US" w:eastAsia="zh-CN" w:bidi="ar"/>
              </w:rPr>
              <w:t xml:space="preserve"> 计</w:t>
            </w:r>
          </w:p>
        </w:tc>
      </w:tr>
      <w:tr w14:paraId="610A6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6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7160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1C9E7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DBA6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777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D8FD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2DA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3A5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E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7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支出类别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9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支出内容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9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测算依据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0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4F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 （元）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49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总额   （万元）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E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资金渠道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93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E63C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9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04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庆典大会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74E6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D29F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4C13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2B21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9A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B0E8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A0FF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CCB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43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4E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场地布置费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6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舞台搭建、背景板、音响灯光租赁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54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*元/㎡×100㎡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E4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75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8F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89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BD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附3家比价单</w:t>
            </w:r>
          </w:p>
        </w:tc>
      </w:tr>
      <w:tr w14:paraId="3FD35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3A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5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61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嘉宾资料袋、席卡、议程册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1F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*元/套×100套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D9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100套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5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4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DF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C9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执行学校会议费标准</w:t>
            </w:r>
          </w:p>
        </w:tc>
      </w:tr>
      <w:tr w14:paraId="24B52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EB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5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证件制作费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6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嘉宾证、工作证、车辆通行证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82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*元/张×100㎡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B0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100张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1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2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AE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9B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</w:tr>
      <w:tr w14:paraId="4D310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C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2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学术活动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7BCE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881B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16ED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A46C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A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8845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759B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6BE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07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1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专家劳务费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8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校外专家主旨报告课酬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*元/人·场×10人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F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10人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F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AD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8E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F7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代扣代缴个税、增值税</w:t>
            </w:r>
          </w:p>
        </w:tc>
      </w:tr>
      <w:tr w14:paraId="0F88A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8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31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专家差旅费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9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校外专家交通、住宿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C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*元/人×10人，按差旅标准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D6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10人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6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83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D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F9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凭票据报销</w:t>
            </w:r>
          </w:p>
        </w:tc>
      </w:tr>
      <w:tr w14:paraId="0FA4D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44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F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成果展示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0C6A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153A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93B1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18E8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52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D32D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558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2B8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32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E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展陈布置费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BD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校史展、办学成果展设计布展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B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*元/㎡×300㎡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F9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F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8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87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F2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附设计方案</w:t>
            </w:r>
          </w:p>
        </w:tc>
      </w:tr>
      <w:tr w14:paraId="17DB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B2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8D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画册印制费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E2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校史画册（展示、档案留存、馆藏）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11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*元/册×1250册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E7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1250册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24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9C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C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6C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赠阅范围报学校审定</w:t>
            </w:r>
          </w:p>
        </w:tc>
      </w:tr>
      <w:tr w14:paraId="2BB27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4C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1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文艺演出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4C16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FCC4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4CA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DCEA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2E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2161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0A10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E68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55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09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演出劳务费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03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校外演职人员劳务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3E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*元/人·场×60人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C3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60人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A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6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B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F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代扣个税；校内人员不得领取</w:t>
            </w:r>
          </w:p>
        </w:tc>
      </w:tr>
      <w:tr w14:paraId="628CA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AA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74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服装道具租赁费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67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演出服装、道具租用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86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*元/套×150套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02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150套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9E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5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99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优先校内资产调配</w:t>
            </w:r>
          </w:p>
        </w:tc>
      </w:tr>
      <w:tr w14:paraId="20DD4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06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6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宣传推广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BAA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55F2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A8E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7AEB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1D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45E1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D491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D09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2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7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宣传物料制作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3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主视觉、海报、道旗、邀请函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45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打包询价（附清单）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84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1批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0D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12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F8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7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附物料清单及比价单</w:t>
            </w:r>
          </w:p>
        </w:tc>
      </w:tr>
      <w:tr w14:paraId="64A11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D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E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宣传片制作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40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校庆宣传片策划、拍摄、制作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8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按比选结果合同价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F9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1部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3D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E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AF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6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版权归学校所有</w:t>
            </w:r>
          </w:p>
        </w:tc>
      </w:tr>
      <w:tr w14:paraId="1897F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E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0B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网络直播服务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8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庆典、晚会直播技术保障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1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2场×*万元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E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2场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5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7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F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18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附服务合同</w:t>
            </w:r>
          </w:p>
        </w:tc>
      </w:tr>
      <w:tr w14:paraId="532D2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66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CC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接待保障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9642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7C6F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E2A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8367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55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D883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8118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63D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B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79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交通接送费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2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校友嘉宾接驳、包车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8F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*元/车·天×25车次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9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25车次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6A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DA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D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8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</w:tr>
      <w:tr w14:paraId="79022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B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住宿补贴费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9A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特邀嘉宾住宿补贴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19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*元/间·晚×200间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C7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200间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72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校友住宿自理为主，不全额包干</w:t>
            </w:r>
          </w:p>
        </w:tc>
      </w:tr>
      <w:tr w14:paraId="5EBDC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5D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F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工作餐费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83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工作人员、志愿者、嘉宾工作餐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F1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*元/人·餐×2000人次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5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2000人次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F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79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6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4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自助简餐，不安排宴请、不上酒水</w:t>
            </w:r>
          </w:p>
        </w:tc>
      </w:tr>
      <w:tr w14:paraId="611E6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05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2F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安保后勤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E3BE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DF8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C7A0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AC4A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95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0FF3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744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FDA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9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9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安保医疗费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6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安保加班、医疗点、应急物资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3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按安保方案打包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12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1批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DD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E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CD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2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</w:tr>
      <w:tr w14:paraId="0B7E6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A8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志愿者保障费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B3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志愿者服装、保险、餐食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94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*元/人×300人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A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300人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F6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DA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A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4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实物保障，不发现金补贴</w:t>
            </w:r>
          </w:p>
        </w:tc>
      </w:tr>
      <w:tr w14:paraId="3ECE5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5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29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其他费用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2BFA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8D5A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C1EE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451D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2C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99C3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2260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0B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6F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D8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印刷耗材费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1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指示牌、座位图、材料印制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F5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打包询价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A9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1批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57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08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E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6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</w:tr>
      <w:tr w14:paraId="79E10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3AAA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4A9A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0200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7B24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8991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F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8B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DBFB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B344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8FE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D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F8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不可预见费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E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应急支出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F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小计×1%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C0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DF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C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自筹、捐赠、赞助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C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动用须事前报批，不得用于禁止性支出</w:t>
            </w:r>
          </w:p>
        </w:tc>
      </w:tr>
      <w:tr w14:paraId="27D04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3C93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8C29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FA8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B39C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8D6D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EA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8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9C5F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9D2A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154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B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D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2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0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CD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9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71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31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6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4EF494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</w:pPr>
    </w:p>
    <w:p w14:paraId="6BD77F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</w:pPr>
    </w:p>
    <w:p w14:paraId="5DC8D1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</w:pPr>
    </w:p>
    <w:p w14:paraId="1DE9E0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rPr>
          <w:rFonts w:hint="default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  <w:t>附件5：</w:t>
      </w:r>
    </w:p>
    <w:p w14:paraId="176C42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eastAsia="zh-CN"/>
        </w:rPr>
        <w:t>郑州轻工业大学50周年校庆专项经费预算</w:t>
      </w: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  <w:t>申报汇总表</w:t>
      </w: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  <w:t>示例</w:t>
      </w: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eastAsia="zh-CN"/>
        </w:rPr>
        <w:t>）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191"/>
        <w:gridCol w:w="1504"/>
        <w:gridCol w:w="1504"/>
        <w:gridCol w:w="1504"/>
        <w:gridCol w:w="1504"/>
        <w:gridCol w:w="1504"/>
        <w:gridCol w:w="1504"/>
        <w:gridCol w:w="1504"/>
      </w:tblGrid>
      <w:tr w14:paraId="69896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34AA6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09" w:type="pct"/>
            <w:vAlign w:val="center"/>
          </w:tcPr>
          <w:p w14:paraId="1DB81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预算项目名称</w:t>
            </w:r>
          </w:p>
        </w:tc>
        <w:tc>
          <w:tcPr>
            <w:tcW w:w="555" w:type="pct"/>
            <w:vAlign w:val="center"/>
          </w:tcPr>
          <w:p w14:paraId="4A544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预算申报单位</w:t>
            </w:r>
          </w:p>
        </w:tc>
        <w:tc>
          <w:tcPr>
            <w:tcW w:w="555" w:type="pct"/>
            <w:vAlign w:val="center"/>
          </w:tcPr>
          <w:p w14:paraId="6000F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经费来源</w:t>
            </w:r>
          </w:p>
        </w:tc>
        <w:tc>
          <w:tcPr>
            <w:tcW w:w="555" w:type="pct"/>
            <w:vAlign w:val="center"/>
          </w:tcPr>
          <w:p w14:paraId="20785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预算金额（万元）</w:t>
            </w:r>
          </w:p>
        </w:tc>
        <w:tc>
          <w:tcPr>
            <w:tcW w:w="555" w:type="pct"/>
            <w:vAlign w:val="center"/>
          </w:tcPr>
          <w:p w14:paraId="29AB6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支出主要内容</w:t>
            </w:r>
          </w:p>
        </w:tc>
        <w:tc>
          <w:tcPr>
            <w:tcW w:w="555" w:type="pct"/>
            <w:vAlign w:val="center"/>
          </w:tcPr>
          <w:p w14:paraId="04A20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支出测算依据</w:t>
            </w:r>
          </w:p>
        </w:tc>
        <w:tc>
          <w:tcPr>
            <w:tcW w:w="555" w:type="pct"/>
            <w:vAlign w:val="center"/>
          </w:tcPr>
          <w:p w14:paraId="21EDC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555" w:type="pct"/>
            <w:vAlign w:val="center"/>
          </w:tcPr>
          <w:p w14:paraId="76C0A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</w:tr>
      <w:tr w14:paraId="735EC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31F40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09" w:type="pct"/>
            <w:vAlign w:val="center"/>
          </w:tcPr>
          <w:p w14:paraId="0CDC9B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庆典大会经费</w:t>
            </w:r>
          </w:p>
        </w:tc>
        <w:tc>
          <w:tcPr>
            <w:tcW w:w="555" w:type="pct"/>
            <w:vAlign w:val="center"/>
          </w:tcPr>
          <w:p w14:paraId="2ABC8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综合协调组</w:t>
            </w:r>
          </w:p>
        </w:tc>
        <w:tc>
          <w:tcPr>
            <w:tcW w:w="555" w:type="pct"/>
            <w:vAlign w:val="center"/>
          </w:tcPr>
          <w:p w14:paraId="1F2E7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校庆专项经费/捐赠收入</w:t>
            </w:r>
          </w:p>
        </w:tc>
        <w:tc>
          <w:tcPr>
            <w:tcW w:w="555" w:type="pct"/>
            <w:vAlign w:val="center"/>
          </w:tcPr>
          <w:p w14:paraId="40916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00C05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场地租赁、设备租赁、舞台搭建、音响灯光等</w:t>
            </w:r>
          </w:p>
        </w:tc>
        <w:tc>
          <w:tcPr>
            <w:tcW w:w="555" w:type="pct"/>
            <w:vAlign w:val="center"/>
          </w:tcPr>
          <w:p w14:paraId="62AB0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活动方案+报价单</w:t>
            </w:r>
          </w:p>
        </w:tc>
        <w:tc>
          <w:tcPr>
            <w:tcW w:w="555" w:type="pct"/>
            <w:vAlign w:val="center"/>
          </w:tcPr>
          <w:p w14:paraId="08F38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景志勇、顾鹏举、吕晶</w:t>
            </w:r>
          </w:p>
        </w:tc>
        <w:tc>
          <w:tcPr>
            <w:tcW w:w="555" w:type="pct"/>
            <w:vAlign w:val="center"/>
          </w:tcPr>
          <w:p w14:paraId="58037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135****</w:t>
            </w:r>
          </w:p>
        </w:tc>
      </w:tr>
      <w:tr w14:paraId="4DB52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2D23D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09" w:type="pct"/>
            <w:vAlign w:val="center"/>
          </w:tcPr>
          <w:p w14:paraId="383AB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学术论坛经费</w:t>
            </w:r>
          </w:p>
        </w:tc>
        <w:tc>
          <w:tcPr>
            <w:tcW w:w="555" w:type="pct"/>
            <w:vAlign w:val="center"/>
          </w:tcPr>
          <w:p w14:paraId="022E7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学术活动组</w:t>
            </w:r>
          </w:p>
        </w:tc>
        <w:tc>
          <w:tcPr>
            <w:tcW w:w="555" w:type="pct"/>
            <w:vAlign w:val="center"/>
          </w:tcPr>
          <w:p w14:paraId="608FA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校庆专项经费/捐赠收入</w:t>
            </w:r>
          </w:p>
        </w:tc>
        <w:tc>
          <w:tcPr>
            <w:tcW w:w="555" w:type="pct"/>
            <w:vAlign w:val="center"/>
          </w:tcPr>
          <w:p w14:paraId="6656D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763B6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专家邀请、差旅、会议费、资料印制等</w:t>
            </w:r>
          </w:p>
        </w:tc>
        <w:tc>
          <w:tcPr>
            <w:tcW w:w="555" w:type="pct"/>
            <w:vAlign w:val="center"/>
          </w:tcPr>
          <w:p w14:paraId="5FB79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参会人数×综合定额标准</w:t>
            </w:r>
          </w:p>
        </w:tc>
        <w:tc>
          <w:tcPr>
            <w:tcW w:w="555" w:type="pct"/>
            <w:vAlign w:val="center"/>
          </w:tcPr>
          <w:p w14:paraId="1BEA3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29AD5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79942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4B7E95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09" w:type="pct"/>
            <w:vAlign w:val="center"/>
          </w:tcPr>
          <w:p w14:paraId="78A8B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文体活动</w:t>
            </w: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经费</w:t>
            </w:r>
          </w:p>
        </w:tc>
        <w:tc>
          <w:tcPr>
            <w:tcW w:w="555" w:type="pct"/>
            <w:vAlign w:val="center"/>
          </w:tcPr>
          <w:p w14:paraId="6EBBC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文体活动组</w:t>
            </w:r>
          </w:p>
        </w:tc>
        <w:tc>
          <w:tcPr>
            <w:tcW w:w="555" w:type="pct"/>
            <w:vAlign w:val="center"/>
          </w:tcPr>
          <w:p w14:paraId="08603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校庆专项经费/捐赠收入</w:t>
            </w:r>
          </w:p>
        </w:tc>
        <w:tc>
          <w:tcPr>
            <w:tcW w:w="555" w:type="pct"/>
            <w:vAlign w:val="center"/>
          </w:tcPr>
          <w:p w14:paraId="31355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2DD3FB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节</w:t>
            </w: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目编排、舞台设备、服装道具等</w:t>
            </w:r>
          </w:p>
        </w:tc>
        <w:tc>
          <w:tcPr>
            <w:tcW w:w="555" w:type="pct"/>
            <w:vAlign w:val="center"/>
          </w:tcPr>
          <w:p w14:paraId="174FF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活动方案+报价单</w:t>
            </w:r>
          </w:p>
        </w:tc>
        <w:tc>
          <w:tcPr>
            <w:tcW w:w="555" w:type="pct"/>
            <w:vAlign w:val="center"/>
          </w:tcPr>
          <w:p w14:paraId="065B3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5866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1B9BB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10011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09" w:type="pct"/>
            <w:vAlign w:val="center"/>
          </w:tcPr>
          <w:p w14:paraId="12116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宣传物料经费</w:t>
            </w:r>
          </w:p>
        </w:tc>
        <w:tc>
          <w:tcPr>
            <w:tcW w:w="555" w:type="pct"/>
            <w:vAlign w:val="center"/>
          </w:tcPr>
          <w:p w14:paraId="7C5C2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文化宣传组</w:t>
            </w:r>
          </w:p>
        </w:tc>
        <w:tc>
          <w:tcPr>
            <w:tcW w:w="555" w:type="pct"/>
            <w:vAlign w:val="center"/>
          </w:tcPr>
          <w:p w14:paraId="3617F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校庆专项经费/捐赠收入</w:t>
            </w:r>
          </w:p>
        </w:tc>
        <w:tc>
          <w:tcPr>
            <w:tcW w:w="555" w:type="pct"/>
            <w:vAlign w:val="center"/>
          </w:tcPr>
          <w:p w14:paraId="6A3BF6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290A1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校史画册、宣传片、纪念画册、文创产品等</w:t>
            </w:r>
          </w:p>
        </w:tc>
        <w:tc>
          <w:tcPr>
            <w:tcW w:w="555" w:type="pct"/>
            <w:vAlign w:val="center"/>
          </w:tcPr>
          <w:p w14:paraId="271A6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印制合同/数量×单价</w:t>
            </w:r>
          </w:p>
        </w:tc>
        <w:tc>
          <w:tcPr>
            <w:tcW w:w="555" w:type="pct"/>
            <w:vAlign w:val="center"/>
          </w:tcPr>
          <w:p w14:paraId="36D99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1AAF3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0F45F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3C7B8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09" w:type="pct"/>
            <w:vAlign w:val="center"/>
          </w:tcPr>
          <w:p w14:paraId="521BB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接待经费</w:t>
            </w:r>
          </w:p>
        </w:tc>
        <w:tc>
          <w:tcPr>
            <w:tcW w:w="555" w:type="pct"/>
            <w:vAlign w:val="center"/>
          </w:tcPr>
          <w:p w14:paraId="58DA5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综合协调组、学术活动组</w:t>
            </w:r>
          </w:p>
        </w:tc>
        <w:tc>
          <w:tcPr>
            <w:tcW w:w="555" w:type="pct"/>
            <w:vAlign w:val="center"/>
          </w:tcPr>
          <w:p w14:paraId="44C0AA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校庆专项经费/捐赠收入</w:t>
            </w:r>
          </w:p>
        </w:tc>
        <w:tc>
          <w:tcPr>
            <w:tcW w:w="555" w:type="pct"/>
            <w:vAlign w:val="center"/>
          </w:tcPr>
          <w:p w14:paraId="4E2D4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590DB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嘉宾食宿、交通、接待物资等</w:t>
            </w:r>
          </w:p>
        </w:tc>
        <w:tc>
          <w:tcPr>
            <w:tcW w:w="555" w:type="pct"/>
            <w:vAlign w:val="center"/>
          </w:tcPr>
          <w:p w14:paraId="0ABCD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嘉宾人数×接待标准</w:t>
            </w:r>
          </w:p>
        </w:tc>
        <w:tc>
          <w:tcPr>
            <w:tcW w:w="555" w:type="pct"/>
            <w:vAlign w:val="center"/>
          </w:tcPr>
          <w:p w14:paraId="69AF8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248CF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82EB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61E66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809" w:type="pct"/>
            <w:vAlign w:val="center"/>
          </w:tcPr>
          <w:p w14:paraId="1C925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志愿者经费</w:t>
            </w:r>
          </w:p>
        </w:tc>
        <w:tc>
          <w:tcPr>
            <w:tcW w:w="555" w:type="pct"/>
            <w:vAlign w:val="center"/>
          </w:tcPr>
          <w:p w14:paraId="609D9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文体活动组</w:t>
            </w:r>
          </w:p>
        </w:tc>
        <w:tc>
          <w:tcPr>
            <w:tcW w:w="555" w:type="pct"/>
            <w:vAlign w:val="center"/>
          </w:tcPr>
          <w:p w14:paraId="2F594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校庆专项经费/捐赠收入</w:t>
            </w:r>
          </w:p>
        </w:tc>
        <w:tc>
          <w:tcPr>
            <w:tcW w:w="555" w:type="pct"/>
            <w:vAlign w:val="center"/>
          </w:tcPr>
          <w:p w14:paraId="6C185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5DFBE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志愿者服装、培训、餐饮、保险等</w:t>
            </w:r>
          </w:p>
        </w:tc>
        <w:tc>
          <w:tcPr>
            <w:tcW w:w="555" w:type="pct"/>
            <w:vAlign w:val="center"/>
          </w:tcPr>
          <w:p w14:paraId="0D06D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志愿者人数×标准</w:t>
            </w:r>
          </w:p>
        </w:tc>
        <w:tc>
          <w:tcPr>
            <w:tcW w:w="555" w:type="pct"/>
            <w:vAlign w:val="center"/>
          </w:tcPr>
          <w:p w14:paraId="5DBAB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05C7D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C72A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55F96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809" w:type="pct"/>
            <w:vAlign w:val="center"/>
          </w:tcPr>
          <w:p w14:paraId="7A161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安保与后勤保障经费</w:t>
            </w:r>
          </w:p>
        </w:tc>
        <w:tc>
          <w:tcPr>
            <w:tcW w:w="555" w:type="pct"/>
            <w:vAlign w:val="center"/>
          </w:tcPr>
          <w:p w14:paraId="1CF85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安全保障组</w:t>
            </w:r>
          </w:p>
        </w:tc>
        <w:tc>
          <w:tcPr>
            <w:tcW w:w="555" w:type="pct"/>
            <w:vAlign w:val="center"/>
          </w:tcPr>
          <w:p w14:paraId="069AD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校庆专项经费/捐赠收入</w:t>
            </w:r>
          </w:p>
        </w:tc>
        <w:tc>
          <w:tcPr>
            <w:tcW w:w="555" w:type="pct"/>
            <w:vAlign w:val="center"/>
          </w:tcPr>
          <w:p w14:paraId="7BE3E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4A63B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安保</w:t>
            </w: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消防</w:t>
            </w: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校园</w:t>
            </w: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环境整治、</w:t>
            </w: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医疗保障</w:t>
            </w: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等</w:t>
            </w:r>
          </w:p>
        </w:tc>
        <w:tc>
          <w:tcPr>
            <w:tcW w:w="555" w:type="pct"/>
            <w:vAlign w:val="center"/>
          </w:tcPr>
          <w:p w14:paraId="5B6F8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服务合同+工作量测算</w:t>
            </w:r>
          </w:p>
        </w:tc>
        <w:tc>
          <w:tcPr>
            <w:tcW w:w="555" w:type="pct"/>
            <w:vAlign w:val="center"/>
          </w:tcPr>
          <w:p w14:paraId="06640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74518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7B47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0376A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809" w:type="pct"/>
            <w:vAlign w:val="center"/>
          </w:tcPr>
          <w:p w14:paraId="36339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校友活动经费</w:t>
            </w:r>
          </w:p>
        </w:tc>
        <w:tc>
          <w:tcPr>
            <w:tcW w:w="555" w:type="pct"/>
            <w:vAlign w:val="center"/>
          </w:tcPr>
          <w:p w14:paraId="5AAA5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校友工作</w:t>
            </w: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组</w:t>
            </w:r>
          </w:p>
        </w:tc>
        <w:tc>
          <w:tcPr>
            <w:tcW w:w="555" w:type="pct"/>
            <w:vAlign w:val="center"/>
          </w:tcPr>
          <w:p w14:paraId="47674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校友捐赠收入</w:t>
            </w:r>
          </w:p>
        </w:tc>
        <w:tc>
          <w:tcPr>
            <w:tcW w:w="555" w:type="pct"/>
            <w:vAlign w:val="center"/>
          </w:tcPr>
          <w:p w14:paraId="09A63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5CC96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校友返校接待、校友座谈、捐赠仪式等</w:t>
            </w:r>
          </w:p>
        </w:tc>
        <w:tc>
          <w:tcPr>
            <w:tcW w:w="555" w:type="pct"/>
            <w:vAlign w:val="center"/>
          </w:tcPr>
          <w:p w14:paraId="4DF9C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活动方案+人数测算</w:t>
            </w:r>
          </w:p>
        </w:tc>
        <w:tc>
          <w:tcPr>
            <w:tcW w:w="555" w:type="pct"/>
            <w:vAlign w:val="center"/>
          </w:tcPr>
          <w:p w14:paraId="36ED3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6A598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439D6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0C04E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809" w:type="pct"/>
            <w:vAlign w:val="center"/>
          </w:tcPr>
          <w:p w14:paraId="15247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捐赠鸣谢经费</w:t>
            </w:r>
          </w:p>
        </w:tc>
        <w:tc>
          <w:tcPr>
            <w:tcW w:w="555" w:type="pct"/>
            <w:vAlign w:val="center"/>
          </w:tcPr>
          <w:p w14:paraId="2EEBA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资金筹措组</w:t>
            </w:r>
          </w:p>
        </w:tc>
        <w:tc>
          <w:tcPr>
            <w:tcW w:w="555" w:type="pct"/>
            <w:vAlign w:val="center"/>
          </w:tcPr>
          <w:p w14:paraId="72F32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校友捐赠收入</w:t>
            </w:r>
          </w:p>
        </w:tc>
        <w:tc>
          <w:tcPr>
            <w:tcW w:w="555" w:type="pct"/>
            <w:vAlign w:val="center"/>
          </w:tcPr>
          <w:p w14:paraId="79B6F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54FED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捐赠证书、纪念品、捐赠纪念册等</w:t>
            </w:r>
          </w:p>
        </w:tc>
        <w:tc>
          <w:tcPr>
            <w:tcW w:w="555" w:type="pct"/>
            <w:vAlign w:val="center"/>
          </w:tcPr>
          <w:p w14:paraId="5AB38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数量×单价</w:t>
            </w:r>
          </w:p>
        </w:tc>
        <w:tc>
          <w:tcPr>
            <w:tcW w:w="555" w:type="pct"/>
            <w:vAlign w:val="center"/>
          </w:tcPr>
          <w:p w14:paraId="710A7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43259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9E77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00F87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809" w:type="pct"/>
            <w:vAlign w:val="center"/>
          </w:tcPr>
          <w:p w14:paraId="0047C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办公与通讯经费</w:t>
            </w:r>
          </w:p>
        </w:tc>
        <w:tc>
          <w:tcPr>
            <w:tcW w:w="555" w:type="pct"/>
            <w:vAlign w:val="center"/>
          </w:tcPr>
          <w:p w14:paraId="5090B1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资金筹措组</w:t>
            </w:r>
          </w:p>
        </w:tc>
        <w:tc>
          <w:tcPr>
            <w:tcW w:w="555" w:type="pct"/>
            <w:vAlign w:val="center"/>
          </w:tcPr>
          <w:p w14:paraId="26C8E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校庆专项经费</w:t>
            </w:r>
          </w:p>
        </w:tc>
        <w:tc>
          <w:tcPr>
            <w:tcW w:w="555" w:type="pct"/>
            <w:vAlign w:val="center"/>
          </w:tcPr>
          <w:p w14:paraId="330ED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0DE6C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办公用品、印刷、通讯、差旅等</w:t>
            </w:r>
          </w:p>
        </w:tc>
        <w:tc>
          <w:tcPr>
            <w:tcW w:w="555" w:type="pct"/>
            <w:vAlign w:val="center"/>
          </w:tcPr>
          <w:p w14:paraId="0EB3B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实际需求测算</w:t>
            </w:r>
          </w:p>
        </w:tc>
        <w:tc>
          <w:tcPr>
            <w:tcW w:w="555" w:type="pct"/>
            <w:vAlign w:val="center"/>
          </w:tcPr>
          <w:p w14:paraId="56C00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00D6B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88DB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41E3E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809" w:type="pct"/>
            <w:vAlign w:val="center"/>
          </w:tcPr>
          <w:p w14:paraId="6B2E0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其他专项经费</w:t>
            </w:r>
          </w:p>
        </w:tc>
        <w:tc>
          <w:tcPr>
            <w:tcW w:w="555" w:type="pct"/>
            <w:vAlign w:val="center"/>
          </w:tcPr>
          <w:p w14:paraId="39775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相关单位</w:t>
            </w:r>
          </w:p>
        </w:tc>
        <w:tc>
          <w:tcPr>
            <w:tcW w:w="555" w:type="pct"/>
            <w:vAlign w:val="center"/>
          </w:tcPr>
          <w:p w14:paraId="55EFA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校庆专项经费/捐赠收入</w:t>
            </w:r>
          </w:p>
        </w:tc>
        <w:tc>
          <w:tcPr>
            <w:tcW w:w="555" w:type="pct"/>
            <w:vAlign w:val="center"/>
          </w:tcPr>
          <w:p w14:paraId="0C7C7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25A17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各单位承担的其他校庆专项任务</w:t>
            </w:r>
          </w:p>
        </w:tc>
        <w:tc>
          <w:tcPr>
            <w:tcW w:w="555" w:type="pct"/>
            <w:vAlign w:val="center"/>
          </w:tcPr>
          <w:p w14:paraId="35CFD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  <w:t>活动方案+测算依据</w:t>
            </w:r>
          </w:p>
        </w:tc>
        <w:tc>
          <w:tcPr>
            <w:tcW w:w="555" w:type="pct"/>
            <w:vAlign w:val="center"/>
          </w:tcPr>
          <w:p w14:paraId="4D56E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40152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19BE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vAlign w:val="center"/>
          </w:tcPr>
          <w:p w14:paraId="114AB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09" w:type="pct"/>
            <w:vAlign w:val="center"/>
          </w:tcPr>
          <w:p w14:paraId="6BABA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555" w:type="pct"/>
            <w:vAlign w:val="center"/>
          </w:tcPr>
          <w:p w14:paraId="5D7D2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A4CC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7F3AD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45475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5A36F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16232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55" w:type="pct"/>
            <w:vAlign w:val="center"/>
          </w:tcPr>
          <w:p w14:paraId="0EB61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Times New Roman"/>
                <w:kern w:val="0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 w14:paraId="22683D95">
      <w:pPr>
        <w:widowControl/>
        <w:spacing w:after="200"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327B54EA">
      <w:pPr>
        <w:widowControl/>
        <w:spacing w:after="200"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3AC2569E">
      <w:pPr>
        <w:widowControl/>
        <w:spacing w:after="200"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4898E7D7">
      <w:pPr>
        <w:widowControl/>
        <w:spacing w:after="200"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p w14:paraId="204FE2CC">
      <w:pPr>
        <w:widowControl/>
        <w:spacing w:after="200"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  <w:sectPr>
          <w:pgSz w:w="16838" w:h="11906" w:orient="landscape"/>
          <w:pgMar w:top="1587" w:right="1701" w:bottom="1417" w:left="1814" w:header="851" w:footer="992" w:gutter="0"/>
          <w:cols w:space="425" w:num="1"/>
          <w:docGrid w:type="lines" w:linePitch="312" w:charSpace="0"/>
        </w:sectPr>
      </w:pPr>
    </w:p>
    <w:p w14:paraId="58A12C7B">
      <w:pPr>
        <w:widowControl/>
        <w:spacing w:after="200" w:line="600" w:lineRule="exact"/>
        <w:jc w:val="both"/>
        <w:rPr>
          <w:rFonts w:hint="default" w:ascii="黑体" w:hAnsi="黑体" w:eastAsia="黑体" w:cs="黑体"/>
          <w:kern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2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22"/>
          <w:lang w:val="en-US" w:eastAsia="zh-CN"/>
        </w:rPr>
        <w:t>6：</w:t>
      </w:r>
    </w:p>
    <w:p w14:paraId="55AB084E">
      <w:pPr>
        <w:widowControl/>
        <w:spacing w:after="200" w:line="600" w:lineRule="exact"/>
        <w:ind w:firstLine="640"/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22"/>
          <w:lang w:val="en-US" w:eastAsia="zh-CN"/>
        </w:rPr>
        <w:t>郑州轻工业大学50周年校庆XX专项经费预算绩效目标表（示例）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311"/>
        <w:gridCol w:w="855"/>
        <w:gridCol w:w="1656"/>
        <w:gridCol w:w="881"/>
        <w:gridCol w:w="501"/>
        <w:gridCol w:w="379"/>
        <w:gridCol w:w="881"/>
        <w:gridCol w:w="881"/>
        <w:gridCol w:w="903"/>
      </w:tblGrid>
      <w:tr w14:paraId="2F329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A6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项目名称：</w:t>
            </w:r>
          </w:p>
        </w:tc>
      </w:tr>
      <w:tr w14:paraId="69F8F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6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9B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项目实施单位：</w:t>
            </w:r>
          </w:p>
        </w:tc>
        <w:tc>
          <w:tcPr>
            <w:tcW w:w="166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F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负责人：</w:t>
            </w:r>
          </w:p>
        </w:tc>
        <w:tc>
          <w:tcPr>
            <w:tcW w:w="1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83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联系电话：</w:t>
            </w:r>
          </w:p>
        </w:tc>
      </w:tr>
      <w:tr w14:paraId="2E714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BD28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总体目标：</w:t>
            </w:r>
          </w:p>
        </w:tc>
      </w:tr>
      <w:tr w14:paraId="4E0DC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AD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4F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0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A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指标值类型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1A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4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B5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指标值说明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E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463B6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7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8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F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校庆专项支出总额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1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PingFang SC" w:hAnsi="PingFang SC" w:eastAsia="PingFang SC" w:cs="PingFang SC"/>
                <w:i w:val="0"/>
                <w:iCs w:val="0"/>
                <w:color w:val="1A2029"/>
                <w:sz w:val="21"/>
                <w:szCs w:val="21"/>
                <w:u w:val="none"/>
              </w:rPr>
            </w:pPr>
            <w:r>
              <w:rPr>
                <w:rFonts w:hint="default" w:ascii="PingFang SC" w:hAnsi="PingFang SC" w:eastAsia="PingFang SC" w:cs="PingFang SC"/>
                <w:i w:val="0"/>
                <w:iCs w:val="0"/>
                <w:color w:val="1A2029"/>
                <w:kern w:val="0"/>
                <w:sz w:val="21"/>
                <w:szCs w:val="21"/>
                <w:u w:val="none"/>
                <w:lang w:val="en-US" w:eastAsia="zh-CN" w:bidi="ar"/>
              </w:rPr>
              <w:t>≤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1E1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3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万元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F4E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8E22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EFF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0459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3F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社会成本指标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86E6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—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B07F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—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71A7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—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31CD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—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AEA7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01E6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ABA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46ED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3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生态环境成本指标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F125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—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6DB3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—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5FEF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—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D5FF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—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CFDC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D9DA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E6F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58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09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58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校庆主题活动举办场次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1F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EDEC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F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1969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88E8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D6A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9317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3A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9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邀请校友人数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1A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7E5C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2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81E9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2C2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05D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8206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48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A4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邀请嘉宾人数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92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8E0A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31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DD2A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5C36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DBD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FF37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5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3B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制作宣传物料种类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3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6F38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DC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9BB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8F10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72E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FA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5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16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校庆宣传片时长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3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474C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7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分钟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88D1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1D40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F4F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C47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A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2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举办文体活动场次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41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6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场次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B273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4A23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7E6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300C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B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7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举办学术论坛场次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54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7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02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场次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4117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5895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28B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733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92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0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活动流程完成率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=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BE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0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FFD9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CAA8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6C7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D9AD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F3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3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安全责任事故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C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=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0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0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0533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B6C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E13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78FE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E8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负面舆情事件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8D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=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1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A9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CFFA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7DD1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774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5D2B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7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07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各项活动按计划完成率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B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=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36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C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7C1D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7192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685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0A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C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22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校友捐赠签约金额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8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5A18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53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万元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B7A8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C1A5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4EB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E199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CE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6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校企/校地合作签约项目数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7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7B5E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8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CF52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DEEC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3C4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5CBB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A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主流媒体报道篇数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7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8E4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C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篇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9294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58D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694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D233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2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A8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校庆专题全网传播量（点击/播放）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0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B71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C1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万次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B5A8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62A9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F5E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03B9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83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1E1E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—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7740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—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109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—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4C79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—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5FAF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7730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636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61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4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4D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参会校友对活动组织的满意度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F3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9E19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6B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E60D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CFED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145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2DD6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FB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参会师生对活动组织的满意度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D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4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0D2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6F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A8A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27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333D348">
      <w:pPr>
        <w:widowControl/>
        <w:spacing w:after="200" w:line="600" w:lineRule="exact"/>
        <w:ind w:firstLine="640"/>
        <w:jc w:val="both"/>
        <w:rPr>
          <w:rFonts w:hint="eastAsia" w:ascii="仿宋_GB2312" w:hAnsi="仿宋_GB2312" w:eastAsia="仿宋_GB2312" w:cs="Times New Roman"/>
          <w:kern w:val="0"/>
          <w:sz w:val="32"/>
          <w:szCs w:val="22"/>
          <w:lang w:eastAsia="zh-CN"/>
        </w:rPr>
      </w:pPr>
    </w:p>
    <w:sectPr>
      <w:pgSz w:w="11906" w:h="16838"/>
      <w:pgMar w:top="1701" w:right="1417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ingFang SC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A038CD"/>
    <w:rsid w:val="039D7511"/>
    <w:rsid w:val="0B871A96"/>
    <w:rsid w:val="0ED60645"/>
    <w:rsid w:val="0F1365D1"/>
    <w:rsid w:val="1025513D"/>
    <w:rsid w:val="13C56BCF"/>
    <w:rsid w:val="16DB47A7"/>
    <w:rsid w:val="18095344"/>
    <w:rsid w:val="1E0563A3"/>
    <w:rsid w:val="1E320FD8"/>
    <w:rsid w:val="1F0B3BEF"/>
    <w:rsid w:val="1FB77434"/>
    <w:rsid w:val="209F6845"/>
    <w:rsid w:val="211B2416"/>
    <w:rsid w:val="23441378"/>
    <w:rsid w:val="25E25DA3"/>
    <w:rsid w:val="2EC10B2D"/>
    <w:rsid w:val="2F611326"/>
    <w:rsid w:val="346C4839"/>
    <w:rsid w:val="39416E81"/>
    <w:rsid w:val="39556807"/>
    <w:rsid w:val="3AD36285"/>
    <w:rsid w:val="45A038CD"/>
    <w:rsid w:val="4B251F8F"/>
    <w:rsid w:val="4FB70DAA"/>
    <w:rsid w:val="55A22D0A"/>
    <w:rsid w:val="55F82812"/>
    <w:rsid w:val="5640043D"/>
    <w:rsid w:val="57EA390C"/>
    <w:rsid w:val="5AC97A40"/>
    <w:rsid w:val="5B8A0A45"/>
    <w:rsid w:val="5E4B7FB9"/>
    <w:rsid w:val="604879FC"/>
    <w:rsid w:val="613B1DCB"/>
    <w:rsid w:val="61AE14CA"/>
    <w:rsid w:val="629D3C8C"/>
    <w:rsid w:val="632C3281"/>
    <w:rsid w:val="6A241FFF"/>
    <w:rsid w:val="6C2C42D2"/>
    <w:rsid w:val="6F7749ED"/>
    <w:rsid w:val="71E8235F"/>
    <w:rsid w:val="734043B4"/>
    <w:rsid w:val="777354AA"/>
    <w:rsid w:val="78153E6C"/>
    <w:rsid w:val="7AD8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3231</Words>
  <Characters>3294</Characters>
  <Lines>0</Lines>
  <Paragraphs>0</Paragraphs>
  <TotalTime>21</TotalTime>
  <ScaleCrop>false</ScaleCrop>
  <LinksUpToDate>false</LinksUpToDate>
  <CharactersWithSpaces>3300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2026-09-29T09:06:00Z</dcterms:created>
  <dc:creator>元吉明</dc:creator>
  <cp:lastModifiedBy>元吉明</cp:lastModifiedBy>
  <dcterms:modified xsi:type="dcterms:W3CDTF">2026-10-30T01:09:04Z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2C35977E5E334CBBBA75CCF7D400E9E7_11</vt:lpwstr>
  </property>
  <property fmtid="{D5CDD505-2E9C-101B-9397-08002B2CF9AE}" pid="4" name="KSOTemplateDocerSaveRecord">
    <vt:lpwstr>eyJoZGlkIjoiOTlkYzViNmUyYzE0NWJmNDYzZmMwNDg4ZDFiY2QzOTciLCJ1c2VySWQiOiIxNjIwMDU5OTQ0In0=</vt:lpwstr>
  </property>
</Properties>
</file>