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5B2A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222222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222222"/>
          <w:spacing w:val="0"/>
          <w:sz w:val="32"/>
          <w:szCs w:val="32"/>
          <w:shd w:val="clear" w:fill="FFFFFF"/>
          <w:lang w:val="en-US" w:eastAsia="zh-CN"/>
        </w:rPr>
        <w:t>附件</w:t>
      </w:r>
    </w:p>
    <w:p w14:paraId="0EDE0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  <w:t>度</w:t>
      </w:r>
      <w:r>
        <w:rPr>
          <w:rFonts w:hint="eastAsia" w:ascii="方正小标宋简体" w:hAnsi="方正小标宋简体" w:eastAsia="方正小标宋简体" w:cs="方正小标宋简体"/>
          <w:sz w:val="48"/>
          <w:szCs w:val="48"/>
        </w:rPr>
        <w:t>高质量发展考核指标及任务分工</w:t>
      </w:r>
    </w:p>
    <w:p w14:paraId="3CE1F0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textAlignment w:val="auto"/>
        <w:rPr>
          <w:rFonts w:hint="eastAsia" w:ascii="仿宋" w:hAnsi="仿宋" w:eastAsia="仿宋" w:cs="仿宋"/>
          <w:sz w:val="24"/>
          <w:szCs w:val="24"/>
        </w:rPr>
      </w:pPr>
    </w:p>
    <w:tbl>
      <w:tblPr>
        <w:tblStyle w:val="2"/>
        <w:tblW w:w="1385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8733"/>
        <w:gridCol w:w="3211"/>
      </w:tblGrid>
      <w:tr w14:paraId="67D6B5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tblHeader/>
          <w:jc w:val="center"/>
        </w:trPr>
        <w:tc>
          <w:tcPr>
            <w:tcW w:w="190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6FD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核心指标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D58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评价标准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04F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责任部门</w:t>
            </w:r>
          </w:p>
        </w:tc>
      </w:tr>
      <w:tr w14:paraId="7C1175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  <w:jc w:val="center"/>
        </w:trPr>
        <w:tc>
          <w:tcPr>
            <w:tcW w:w="190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6C2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学科专业调整优化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1B82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1.专业结构调整优化情况;专业点新增数量;急需特需、新兴交叉专业布局新增；特色优势专业集群培育建设情况。</w:t>
            </w:r>
          </w:p>
        </w:tc>
        <w:tc>
          <w:tcPr>
            <w:tcW w:w="3211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3CE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教务处</w:t>
            </w:r>
          </w:p>
        </w:tc>
      </w:tr>
      <w:tr w14:paraId="1D2A1B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2C8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577F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2.通过工程教育专业认证的本科专业点数量及占本校应认证专业比例。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3A21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23665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817E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721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3.学科学院调整优化情况；急需特需、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新兴交叉学科布局新增；特色优势学科集群培育建设情况。</w:t>
            </w:r>
          </w:p>
        </w:tc>
        <w:tc>
          <w:tcPr>
            <w:tcW w:w="3211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3CA8F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发展规划与学科建设处</w:t>
            </w:r>
          </w:p>
        </w:tc>
      </w:tr>
      <w:tr w14:paraId="3DC4FB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9069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00C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4.ESI前1%学科新增数量，博士后流动站新增数量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9BE8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373CF2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90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9A6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综合改革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B40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高校体制机制、分类转型等改革任务推进情况及成效。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2BC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发展规划与学科建设处</w:t>
            </w:r>
          </w:p>
        </w:tc>
      </w:tr>
      <w:tr w14:paraId="0EF916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90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B32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高水平人才自主培养能力创新提质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B74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1.省级及以上规划教材、课程、实践等教学质量工程项目建设情况，省级高等教育教学改革重大项目与重点项目鉴定情况</w:t>
            </w:r>
          </w:p>
        </w:tc>
        <w:tc>
          <w:tcPr>
            <w:tcW w:w="3211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2C74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教务处</w:t>
            </w:r>
          </w:p>
        </w:tc>
      </w:tr>
      <w:tr w14:paraId="7047D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511B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B30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2.卓越拔尖创新人才培养、科教融汇协同育人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5C9F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E4920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0BF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B8C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3.智慧教室占比、马工程教材使用、校企合作情况等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57CCB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D8EE4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ED6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B29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4.中国国际大学生创新大赛项目培育及获奖等情况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CC9C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就业创业指导中心</w:t>
            </w:r>
          </w:p>
        </w:tc>
      </w:tr>
      <w:tr w14:paraId="01F6B6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190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6E3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师资队伍建设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2BDF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1.省级及以上高层次人才增加数量、博士学位教师占比、省级青年骨干教师新增数量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A47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人事处</w:t>
            </w:r>
          </w:p>
        </w:tc>
      </w:tr>
      <w:tr w14:paraId="609777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6AD0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7CB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2.省级教学名师、思政名师工作室等建设情况，教授为本科生授课占比(100%)，省级以上教师教学创新大赛获奖、思政课教学技能展示等情况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E9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教务处</w:t>
            </w:r>
          </w:p>
        </w:tc>
      </w:tr>
      <w:tr w14:paraId="3DFC62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B98B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74D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3.省级创新人才、创新团队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6B9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科技处、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社会科学管理处</w:t>
            </w:r>
          </w:p>
        </w:tc>
      </w:tr>
      <w:tr w14:paraId="1A0E35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B9F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FE9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4.国务院学位委员会学科评议组成员、全国专业学位研究生教育指导委员会、国家教学指导委员会委员等数量情况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31D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发展规划与学科建设处、研究生院、教务处</w:t>
            </w:r>
          </w:p>
        </w:tc>
      </w:tr>
      <w:tr w14:paraId="58588C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90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721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科研创新能力提升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4EC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省部级及以上重大科技基础设施、科技创新平台，国家科学技术奖、教育部哲学社会科学成果奖，国家自科、社科基金等重大、重点项目数量，重大基金项目，省级重大、重点科研项目情况，参与中央和国家部委重大调研课题项目数量</w:t>
            </w:r>
          </w:p>
        </w:tc>
        <w:tc>
          <w:tcPr>
            <w:tcW w:w="321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5AB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科技处、社会科学管理处</w:t>
            </w:r>
          </w:p>
        </w:tc>
      </w:tr>
      <w:tr w14:paraId="199DC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271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0BB4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2.省级及以上科学技术类奖、社会科学奖，科技创新及发明专利、知产权(发明专利、新品种、临床批件、新药证书等)等情况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4C9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A1AF5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3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1A2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F91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3.科技成果转化、校企研发中心建设、社科基地、实验室、智库建设决策咨询成果被地市政府及以上领导批示采纳等，负责或参与“国准”“行业标准”制订情况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B87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29FB1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</w:tblPrEx>
        <w:trPr>
          <w:trHeight w:val="583" w:hRule="atLeast"/>
          <w:jc w:val="center"/>
        </w:trPr>
        <w:tc>
          <w:tcPr>
            <w:tcW w:w="190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BC33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学生培养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B5F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1.省级优秀博士、硕士、学士学位论文数量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D13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研究生院、教务处</w:t>
            </w:r>
          </w:p>
        </w:tc>
      </w:tr>
      <w:tr w14:paraId="13CFFD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B4BB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AD6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2.省级大学生创新类项目、学科竞赛、文体比赛等情况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698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教务处</w:t>
            </w:r>
          </w:p>
        </w:tc>
      </w:tr>
      <w:tr w14:paraId="3C29B2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43E9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FAB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3.省级大学生职业规划大赛情况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0D1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就业创业指导中心</w:t>
            </w:r>
          </w:p>
        </w:tc>
      </w:tr>
      <w:tr w14:paraId="1ECFDD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177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1A2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4.学生日常管理、“一站式”学生社区综合管理模式建设、学籍学历管理等情况，学生工作成果、大学生社会实践项目获奖情况，思政工作质量提升综合改革与精品项目建设等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B1C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教务处、学生处、研究生院、团委</w:t>
            </w:r>
          </w:p>
        </w:tc>
      </w:tr>
      <w:tr w14:paraId="074B03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EDA2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A43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5.就业创业指导支持情况，服务、校园招聘及重点群体帮扶等情况，应届毕业生去向落实情况</w:t>
            </w:r>
          </w:p>
        </w:tc>
        <w:tc>
          <w:tcPr>
            <w:tcW w:w="3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739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就业创业指导中心</w:t>
            </w:r>
          </w:p>
        </w:tc>
      </w:tr>
      <w:tr w14:paraId="3D74DD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90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BBA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高水平教育对外开放</w:t>
            </w: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7CB5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1.教师赴国(境)外访学和进行学术交流、国(境)外学者来校进行学术交流情况</w:t>
            </w:r>
          </w:p>
        </w:tc>
        <w:tc>
          <w:tcPr>
            <w:tcW w:w="321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4F7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国际合作与交流处</w:t>
            </w:r>
          </w:p>
        </w:tc>
      </w:tr>
      <w:tr w14:paraId="00187B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E2B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ABB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2.学生出国(境)学习交流情况、国(境)外学生来访学习交流、培养各层次来华留学生、港澳台学生数量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7F2F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55D9D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1DE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E72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3.科研国际合作、开展涉外办学情况，建立省级及以上国际联合实验室(基地)、引智平台数量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2ED8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B41FD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EBD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F56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4.主办或承办国际会议情况</w:t>
            </w:r>
          </w:p>
        </w:tc>
        <w:tc>
          <w:tcPr>
            <w:tcW w:w="321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F957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07A55F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4E991CFB"/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225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2026-02-14T09:47:44Z</dcterms:created>
  <dc:creator>郑州</dc:creator>
  <cp:lastModifiedBy>周辉</cp:lastModifiedBy>
  <dcterms:modified xsi:type="dcterms:W3CDTF">2026-02-14T09:48:04Z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eyJoZGlkIjoiNTYwNmQ5NGRlOTRiYmQ3ZGIyZWVlNjhkNjI3ODI4MTkiLCJ1c2VySWQiOiIxNjE4MTIxMDY1In0=</vt:lpwstr>
  </property>
  <property fmtid="{D5CDD505-2E9C-101B-9397-08002B2CF9AE}" pid="4" name="ICV">
    <vt:lpwstr>2CFD0E1537EB485E98629F50598DCF5C_12</vt:lpwstr>
  </property>
</Properties>
</file>